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E2D6" w14:textId="0960B491" w:rsidR="002F7060" w:rsidRDefault="002F7060" w:rsidP="002F7060">
      <w:pPr>
        <w:spacing w:after="60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noProof/>
          <w:color w:val="000000" w:themeColor="text1"/>
          <w:sz w:val="30"/>
          <w:szCs w:val="30"/>
        </w:rPr>
        <w:drawing>
          <wp:inline distT="0" distB="0" distL="0" distR="0" wp14:anchorId="52C10AD4" wp14:editId="4A6A219D">
            <wp:extent cx="2991512" cy="1112520"/>
            <wp:effectExtent l="0" t="0" r="0" b="0"/>
            <wp:docPr id="1083075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613" cy="1113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4E113" w14:textId="77777777" w:rsidR="002F7060" w:rsidRDefault="002F7060">
      <w:pPr>
        <w:spacing w:after="60"/>
        <w:rPr>
          <w:b/>
          <w:bCs/>
          <w:color w:val="000000" w:themeColor="text1"/>
          <w:sz w:val="30"/>
          <w:szCs w:val="30"/>
        </w:rPr>
      </w:pPr>
    </w:p>
    <w:p w14:paraId="6CC46193" w14:textId="77777777" w:rsidR="002F7060" w:rsidRDefault="002F7060">
      <w:pPr>
        <w:spacing w:after="60"/>
        <w:rPr>
          <w:b/>
          <w:bCs/>
          <w:color w:val="000000" w:themeColor="text1"/>
          <w:sz w:val="30"/>
          <w:szCs w:val="30"/>
        </w:rPr>
      </w:pPr>
    </w:p>
    <w:p w14:paraId="662B744D" w14:textId="77777777" w:rsidR="002F7060" w:rsidRDefault="002F7060">
      <w:pPr>
        <w:spacing w:after="60"/>
        <w:rPr>
          <w:b/>
          <w:bCs/>
          <w:color w:val="000000" w:themeColor="text1"/>
          <w:sz w:val="30"/>
          <w:szCs w:val="30"/>
        </w:rPr>
      </w:pPr>
    </w:p>
    <w:p w14:paraId="783553E1" w14:textId="062A678E" w:rsidR="00764A27" w:rsidRPr="002F7060" w:rsidRDefault="00000000" w:rsidP="002F7060">
      <w:pPr>
        <w:spacing w:after="60"/>
        <w:jc w:val="center"/>
        <w:rPr>
          <w:b/>
          <w:bCs/>
          <w:color w:val="000000" w:themeColor="text1"/>
          <w:sz w:val="30"/>
          <w:szCs w:val="30"/>
        </w:rPr>
      </w:pPr>
      <w:proofErr w:type="spellStart"/>
      <w:r w:rsidRPr="002F7060">
        <w:rPr>
          <w:b/>
          <w:bCs/>
          <w:color w:val="000000" w:themeColor="text1"/>
          <w:sz w:val="30"/>
          <w:szCs w:val="30"/>
        </w:rPr>
        <w:t>Коментар</w:t>
      </w:r>
      <w:proofErr w:type="spellEnd"/>
      <w:r w:rsidR="002F7060">
        <w:rPr>
          <w:b/>
          <w:bCs/>
          <w:color w:val="000000" w:themeColor="text1"/>
          <w:sz w:val="30"/>
          <w:szCs w:val="30"/>
          <w:lang w:val="sr-Cyrl-RS"/>
        </w:rPr>
        <w:t>и</w:t>
      </w:r>
      <w:r w:rsidRPr="002F7060">
        <w:rPr>
          <w:b/>
          <w:bCs/>
          <w:color w:val="000000" w:themeColor="text1"/>
          <w:sz w:val="30"/>
          <w:szCs w:val="30"/>
        </w:rPr>
        <w:t xml:space="preserve"> UNEKOOP-а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на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Извештај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о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стратешкој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процени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утицаја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на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животну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средину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Стратегије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пољопривреде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и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руралног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развоја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Републике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Србије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за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период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од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2026. 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до</w:t>
      </w:r>
      <w:proofErr w:type="spellEnd"/>
      <w:r w:rsidRPr="002F7060">
        <w:rPr>
          <w:b/>
          <w:bCs/>
          <w:color w:val="000000" w:themeColor="text1"/>
          <w:sz w:val="30"/>
          <w:szCs w:val="30"/>
        </w:rPr>
        <w:t xml:space="preserve"> 2034. </w:t>
      </w:r>
      <w:r w:rsidR="002F7060">
        <w:rPr>
          <w:b/>
          <w:bCs/>
          <w:color w:val="000000" w:themeColor="text1"/>
          <w:sz w:val="30"/>
          <w:szCs w:val="30"/>
          <w:lang w:val="sr-Cyrl-RS"/>
        </w:rPr>
        <w:t>г</w:t>
      </w:r>
      <w:proofErr w:type="spellStart"/>
      <w:r w:rsidRPr="002F7060">
        <w:rPr>
          <w:b/>
          <w:bCs/>
          <w:color w:val="000000" w:themeColor="text1"/>
          <w:sz w:val="30"/>
          <w:szCs w:val="30"/>
        </w:rPr>
        <w:t>одине</w:t>
      </w:r>
      <w:proofErr w:type="spellEnd"/>
    </w:p>
    <w:p w14:paraId="237790FC" w14:textId="77777777" w:rsidR="002F7060" w:rsidRPr="002F7060" w:rsidRDefault="002F7060">
      <w:pPr>
        <w:spacing w:after="60"/>
        <w:rPr>
          <w:color w:val="000000" w:themeColor="text1"/>
        </w:rPr>
      </w:pPr>
    </w:p>
    <w:p w14:paraId="5CB76E47" w14:textId="412EC821" w:rsidR="00764A27" w:rsidRPr="002F7060" w:rsidRDefault="00000000">
      <w:pPr>
        <w:spacing w:after="120" w:line="276" w:lineRule="auto"/>
        <w:jc w:val="both"/>
        <w:rPr>
          <w:color w:val="000000" w:themeColor="text1"/>
        </w:rPr>
      </w:pPr>
      <w:r w:rsidRPr="002F7060">
        <w:rPr>
          <w:color w:val="000000" w:themeColor="text1"/>
        </w:rPr>
        <w:t xml:space="preserve">UNEKOOP </w:t>
      </w:r>
      <w:proofErr w:type="spellStart"/>
      <w:r w:rsidRPr="002F7060">
        <w:rPr>
          <w:color w:val="000000" w:themeColor="text1"/>
        </w:rPr>
        <w:t>оцењује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достављени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Извештај</w:t>
      </w:r>
      <w:proofErr w:type="spellEnd"/>
      <w:r w:rsidRPr="002F7060">
        <w:rPr>
          <w:color w:val="000000" w:themeColor="text1"/>
        </w:rPr>
        <w:t xml:space="preserve"> о </w:t>
      </w:r>
      <w:proofErr w:type="spellStart"/>
      <w:r w:rsidRPr="002F7060">
        <w:rPr>
          <w:color w:val="000000" w:themeColor="text1"/>
        </w:rPr>
        <w:t>стратешкој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процени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утицаја</w:t>
      </w:r>
      <w:proofErr w:type="spellEnd"/>
      <w:r w:rsidRPr="002F7060">
        <w:rPr>
          <w:color w:val="000000" w:themeColor="text1"/>
        </w:rPr>
        <w:t xml:space="preserve"> (у </w:t>
      </w:r>
      <w:proofErr w:type="spellStart"/>
      <w:r w:rsidRPr="002F7060">
        <w:rPr>
          <w:color w:val="000000" w:themeColor="text1"/>
        </w:rPr>
        <w:t>даљем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тексту</w:t>
      </w:r>
      <w:proofErr w:type="spellEnd"/>
      <w:r w:rsidRPr="002F7060">
        <w:rPr>
          <w:color w:val="000000" w:themeColor="text1"/>
        </w:rPr>
        <w:t xml:space="preserve">: СПУ) у </w:t>
      </w:r>
      <w:proofErr w:type="spellStart"/>
      <w:r w:rsidRPr="002F7060">
        <w:rPr>
          <w:color w:val="000000" w:themeColor="text1"/>
        </w:rPr>
        <w:t>великој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мери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неактуелан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методолошки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превазиђен</w:t>
      </w:r>
      <w:proofErr w:type="spellEnd"/>
      <w:r w:rsidRPr="002F7060">
        <w:rPr>
          <w:color w:val="000000" w:themeColor="text1"/>
        </w:rPr>
        <w:t xml:space="preserve">. </w:t>
      </w:r>
      <w:proofErr w:type="spellStart"/>
      <w:r w:rsidRPr="002F7060">
        <w:rPr>
          <w:color w:val="000000" w:themeColor="text1"/>
        </w:rPr>
        <w:t>Документ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ослања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застарео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методолошки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приступ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одражава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актуелне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међународне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националне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оквире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алате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стандарде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који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су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међувремену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постали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обавезујућа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референца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интеграцију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природних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решења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стратешко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планирање</w:t>
      </w:r>
      <w:proofErr w:type="spellEnd"/>
      <w:r w:rsidRPr="002F7060">
        <w:rPr>
          <w:color w:val="000000" w:themeColor="text1"/>
        </w:rPr>
        <w:t xml:space="preserve">. </w:t>
      </w:r>
      <w:proofErr w:type="spellStart"/>
      <w:r w:rsidRPr="002F7060">
        <w:rPr>
          <w:color w:val="000000" w:themeColor="text1"/>
        </w:rPr>
        <w:t>Климатске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промене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третирани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претежно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описно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фрагментарно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као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појединачни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рецептори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односно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илустративни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примери</w:t>
      </w:r>
      <w:proofErr w:type="spellEnd"/>
      <w:r w:rsidRPr="002F7060">
        <w:rPr>
          <w:color w:val="000000" w:themeColor="text1"/>
        </w:rPr>
        <w:t xml:space="preserve">, а </w:t>
      </w:r>
      <w:proofErr w:type="spellStart"/>
      <w:r w:rsidRPr="002F7060">
        <w:rPr>
          <w:color w:val="000000" w:themeColor="text1"/>
        </w:rPr>
        <w:t>не</w:t>
      </w:r>
      <w:proofErr w:type="spellEnd"/>
      <w:r w:rsidRPr="002F7060">
        <w:rPr>
          <w:color w:val="000000" w:themeColor="text1"/>
        </w:rPr>
        <w:t xml:space="preserve"> </w:t>
      </w:r>
      <w:r w:rsidR="00163201" w:rsidRPr="002F7060">
        <w:rPr>
          <w:color w:val="000000" w:themeColor="text1"/>
        </w:rPr>
        <w:t>„</w:t>
      </w:r>
      <w:proofErr w:type="spellStart"/>
      <w:r w:rsidR="00163201" w:rsidRPr="002F7060">
        <w:rPr>
          <w:color w:val="000000" w:themeColor="text1"/>
        </w:rPr>
        <w:t>које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прожимају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цео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proofErr w:type="gramStart"/>
      <w:r w:rsidR="00163201" w:rsidRPr="002F7060">
        <w:rPr>
          <w:color w:val="000000" w:themeColor="text1"/>
        </w:rPr>
        <w:t>документ</w:t>
      </w:r>
      <w:proofErr w:type="spellEnd"/>
      <w:r w:rsidR="00163201" w:rsidRPr="002F7060">
        <w:rPr>
          <w:color w:val="000000" w:themeColor="text1"/>
        </w:rPr>
        <w:t xml:space="preserve">“ </w:t>
      </w:r>
      <w:r w:rsidRPr="002F7060">
        <w:rPr>
          <w:color w:val="000000" w:themeColor="text1"/>
        </w:rPr>
        <w:t>(</w:t>
      </w:r>
      <w:proofErr w:type="gramEnd"/>
      <w:r w:rsidRPr="002F7060">
        <w:rPr>
          <w:color w:val="000000" w:themeColor="text1"/>
        </w:rPr>
        <w:t xml:space="preserve">cross-cutting) </w:t>
      </w:r>
      <w:proofErr w:type="spellStart"/>
      <w:r w:rsidRPr="002F7060">
        <w:rPr>
          <w:color w:val="000000" w:themeColor="text1"/>
        </w:rPr>
        <w:t>теме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структуришу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анализу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алтернатива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процену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значаја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утицаја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систем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праћења</w:t>
      </w:r>
      <w:proofErr w:type="spellEnd"/>
      <w:r w:rsidRPr="002F7060">
        <w:rPr>
          <w:color w:val="000000" w:themeColor="text1"/>
        </w:rPr>
        <w:t>.</w:t>
      </w:r>
    </w:p>
    <w:p w14:paraId="040E85C5" w14:textId="77777777" w:rsidR="00764A27" w:rsidRPr="002F7060" w:rsidRDefault="00000000">
      <w:pPr>
        <w:spacing w:after="120" w:line="276" w:lineRule="auto"/>
        <w:jc w:val="both"/>
        <w:rPr>
          <w:color w:val="000000" w:themeColor="text1"/>
        </w:rPr>
      </w:pPr>
      <w:r w:rsidRPr="002F7060">
        <w:rPr>
          <w:color w:val="000000" w:themeColor="text1"/>
        </w:rPr>
        <w:t xml:space="preserve">UNEKOOP </w:t>
      </w:r>
      <w:proofErr w:type="spellStart"/>
      <w:r w:rsidRPr="002F7060">
        <w:rPr>
          <w:color w:val="000000" w:themeColor="text1"/>
        </w:rPr>
        <w:t>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претендује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коментарише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све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сегменте</w:t>
      </w:r>
      <w:proofErr w:type="spellEnd"/>
      <w:r w:rsidRPr="002F7060">
        <w:rPr>
          <w:color w:val="000000" w:themeColor="text1"/>
        </w:rPr>
        <w:t xml:space="preserve"> СПУ. </w:t>
      </w:r>
      <w:proofErr w:type="spellStart"/>
      <w:r w:rsidRPr="002F7060">
        <w:rPr>
          <w:color w:val="000000" w:themeColor="text1"/>
        </w:rPr>
        <w:t>Пажња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је</w:t>
      </w:r>
      <w:proofErr w:type="spellEnd"/>
      <w:r w:rsidRPr="002F7060">
        <w:rPr>
          <w:color w:val="000000" w:themeColor="text1"/>
        </w:rPr>
        <w:t xml:space="preserve">, у </w:t>
      </w:r>
      <w:proofErr w:type="spellStart"/>
      <w:r w:rsidRPr="002F7060">
        <w:rPr>
          <w:color w:val="000000" w:themeColor="text1"/>
        </w:rPr>
        <w:t>складу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мандатом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експертизом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организације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усмерена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две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теме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су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жижи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интересовања</w:t>
      </w:r>
      <w:proofErr w:type="spellEnd"/>
      <w:r w:rsidRPr="002F7060">
        <w:rPr>
          <w:color w:val="000000" w:themeColor="text1"/>
        </w:rPr>
        <w:t xml:space="preserve"> UNEKOOP-а: </w:t>
      </w:r>
      <w:proofErr w:type="spellStart"/>
      <w:r w:rsidRPr="002F7060">
        <w:rPr>
          <w:color w:val="000000" w:themeColor="text1"/>
        </w:rPr>
        <w:t>климатске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промене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Решења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заснована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природи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). </w:t>
      </w:r>
      <w:proofErr w:type="spellStart"/>
      <w:r w:rsidRPr="002F7060">
        <w:rPr>
          <w:color w:val="000000" w:themeColor="text1"/>
        </w:rPr>
        <w:t>Коментари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који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следе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односе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искључиво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ове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две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области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дирају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остале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аспекте</w:t>
      </w:r>
      <w:proofErr w:type="spellEnd"/>
      <w:r w:rsidRPr="002F7060">
        <w:rPr>
          <w:color w:val="000000" w:themeColor="text1"/>
        </w:rPr>
        <w:t xml:space="preserve"> Извештаја.</w:t>
      </w:r>
    </w:p>
    <w:p w14:paraId="3C2E803A" w14:textId="77777777" w:rsidR="00764A27" w:rsidRPr="002F7060" w:rsidRDefault="00000000">
      <w:pPr>
        <w:pStyle w:val="Heading1"/>
        <w:rPr>
          <w:color w:val="000000" w:themeColor="text1"/>
        </w:rPr>
      </w:pPr>
      <w:r w:rsidRPr="002F7060">
        <w:rPr>
          <w:color w:val="000000" w:themeColor="text1"/>
        </w:rPr>
        <w:t xml:space="preserve">2. </w:t>
      </w:r>
      <w:proofErr w:type="spellStart"/>
      <w:r w:rsidRPr="002F7060">
        <w:rPr>
          <w:color w:val="000000" w:themeColor="text1"/>
        </w:rPr>
        <w:t>Кључна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замерка</w:t>
      </w:r>
      <w:proofErr w:type="spellEnd"/>
      <w:r w:rsidRPr="002F7060">
        <w:rPr>
          <w:color w:val="000000" w:themeColor="text1"/>
        </w:rPr>
        <w:t xml:space="preserve">: </w:t>
      </w:r>
      <w:proofErr w:type="spellStart"/>
      <w:r w:rsidRPr="002F7060">
        <w:rPr>
          <w:color w:val="000000" w:themeColor="text1"/>
        </w:rPr>
        <w:t>неуважавање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релевантног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интеграцију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NbS</w:t>
      </w:r>
      <w:proofErr w:type="spellEnd"/>
    </w:p>
    <w:p w14:paraId="5EFA0A9C" w14:textId="77777777" w:rsidR="00764A27" w:rsidRPr="002F7060" w:rsidRDefault="00000000">
      <w:pPr>
        <w:spacing w:after="120" w:line="276" w:lineRule="auto"/>
        <w:jc w:val="both"/>
        <w:rPr>
          <w:color w:val="000000" w:themeColor="text1"/>
        </w:rPr>
      </w:pPr>
      <w:r w:rsidRPr="002F7060">
        <w:rPr>
          <w:color w:val="000000" w:themeColor="text1"/>
        </w:rPr>
        <w:t xml:space="preserve">UNEKOOP </w:t>
      </w:r>
      <w:proofErr w:type="spellStart"/>
      <w:r w:rsidRPr="002F7060">
        <w:rPr>
          <w:color w:val="000000" w:themeColor="text1"/>
        </w:rPr>
        <w:t>оцењује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је</w:t>
      </w:r>
      <w:proofErr w:type="spellEnd"/>
      <w:r w:rsidRPr="002F7060">
        <w:rPr>
          <w:color w:val="000000" w:themeColor="text1"/>
        </w:rPr>
        <w:t xml:space="preserve"> СПУ </w:t>
      </w:r>
      <w:proofErr w:type="spellStart"/>
      <w:r w:rsidRPr="002F7060">
        <w:rPr>
          <w:color w:val="000000" w:themeColor="text1"/>
        </w:rPr>
        <w:t>минимално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или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уопште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није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уважила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међународни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национални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релевантан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интеграцију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климатских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промена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иако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тај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јасно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дефинисан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обавезујући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Републику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Србију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процесу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приступања</w:t>
      </w:r>
      <w:proofErr w:type="spellEnd"/>
      <w:r w:rsidRPr="002F7060">
        <w:rPr>
          <w:color w:val="000000" w:themeColor="text1"/>
        </w:rPr>
        <w:t xml:space="preserve"> ЕУ. </w:t>
      </w:r>
      <w:proofErr w:type="spellStart"/>
      <w:r w:rsidRPr="002F7060">
        <w:rPr>
          <w:color w:val="000000" w:themeColor="text1"/>
        </w:rPr>
        <w:t>Конкретно</w:t>
      </w:r>
      <w:proofErr w:type="spellEnd"/>
      <w:r w:rsidRPr="002F7060">
        <w:rPr>
          <w:color w:val="000000" w:themeColor="text1"/>
        </w:rPr>
        <w:t>:</w:t>
      </w:r>
    </w:p>
    <w:p w14:paraId="3975DED6" w14:textId="0EBA3FB9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r w:rsidRPr="002F7060">
        <w:rPr>
          <w:color w:val="000000" w:themeColor="text1"/>
        </w:rPr>
        <w:t xml:space="preserve">СПУ </w:t>
      </w:r>
      <w:proofErr w:type="spellStart"/>
      <w:r w:rsidRPr="002F7060">
        <w:rPr>
          <w:color w:val="000000" w:themeColor="text1"/>
        </w:rPr>
        <w:t>се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методолошки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наслања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застарели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приступ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без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видљивог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ослонца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Техничке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смернице</w:t>
      </w:r>
      <w:proofErr w:type="spellEnd"/>
      <w:r w:rsidRPr="002F7060">
        <w:rPr>
          <w:color w:val="000000" w:themeColor="text1"/>
        </w:rPr>
        <w:t xml:space="preserve"> ЕК 2021/C 373/01 о climate proofing-у </w:t>
      </w:r>
      <w:proofErr w:type="spellStart"/>
      <w:r w:rsidRPr="002F7060">
        <w:rPr>
          <w:color w:val="000000" w:themeColor="text1"/>
        </w:rPr>
        <w:t>инфраструктуре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период</w:t>
      </w:r>
      <w:proofErr w:type="spellEnd"/>
      <w:r w:rsidRPr="002F7060">
        <w:rPr>
          <w:color w:val="000000" w:themeColor="text1"/>
        </w:rPr>
        <w:t xml:space="preserve"> 2021. </w:t>
      </w:r>
      <w:proofErr w:type="spellStart"/>
      <w:r w:rsidRPr="002F7060">
        <w:rPr>
          <w:color w:val="000000" w:themeColor="text1"/>
        </w:rPr>
        <w:t>до</w:t>
      </w:r>
      <w:proofErr w:type="spellEnd"/>
      <w:r w:rsidRPr="002F7060">
        <w:rPr>
          <w:color w:val="000000" w:themeColor="text1"/>
        </w:rPr>
        <w:t xml:space="preserve"> 2027),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Стратегиј</w:t>
      </w:r>
      <w:proofErr w:type="spellEnd"/>
      <w:r w:rsidR="00163201" w:rsidRPr="002F7060">
        <w:rPr>
          <w:color w:val="000000" w:themeColor="text1"/>
          <w:lang w:val="sr-Cyrl-RS"/>
        </w:rPr>
        <w:t>у</w:t>
      </w:r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заштите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животне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средине</w:t>
      </w:r>
      <w:proofErr w:type="spellEnd"/>
      <w:r w:rsidR="00163201" w:rsidRPr="002F7060">
        <w:rPr>
          <w:color w:val="000000" w:themeColor="text1"/>
        </w:rPr>
        <w:t xml:space="preserve"> - </w:t>
      </w:r>
      <w:proofErr w:type="spellStart"/>
      <w:r w:rsidR="00163201" w:rsidRPr="002F7060">
        <w:rPr>
          <w:color w:val="000000" w:themeColor="text1"/>
        </w:rPr>
        <w:t>Зелена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Агенда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Републике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Србије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за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период</w:t>
      </w:r>
      <w:proofErr w:type="spellEnd"/>
      <w:r w:rsidR="00163201" w:rsidRPr="002F7060">
        <w:rPr>
          <w:color w:val="000000" w:themeColor="text1"/>
        </w:rPr>
        <w:t xml:space="preserve"> 2024 - 2033. </w:t>
      </w:r>
      <w:proofErr w:type="spellStart"/>
      <w:r w:rsidR="00163201" w:rsidRPr="002F7060">
        <w:rPr>
          <w:color w:val="000000" w:themeColor="text1"/>
        </w:rPr>
        <w:t>годи</w:t>
      </w:r>
      <w:proofErr w:type="spellEnd"/>
      <w:r w:rsidR="00163201" w:rsidRPr="002F7060">
        <w:rPr>
          <w:color w:val="000000" w:themeColor="text1"/>
          <w:lang w:val="sr-Cyrl-RS"/>
        </w:rPr>
        <w:t>е</w:t>
      </w:r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изричито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упућује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Мера</w:t>
      </w:r>
      <w:proofErr w:type="spellEnd"/>
      <w:r w:rsidRPr="002F7060">
        <w:rPr>
          <w:color w:val="000000" w:themeColor="text1"/>
        </w:rPr>
        <w:t xml:space="preserve"> 1.1.2), </w:t>
      </w:r>
      <w:proofErr w:type="spellStart"/>
      <w:r w:rsidRPr="002F7060">
        <w:rPr>
          <w:color w:val="000000" w:themeColor="text1"/>
        </w:rPr>
        <w:t>нити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новији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приступ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процени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климатског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ризика</w:t>
      </w:r>
      <w:proofErr w:type="spellEnd"/>
      <w:r w:rsidRPr="002F7060">
        <w:rPr>
          <w:color w:val="000000" w:themeColor="text1"/>
        </w:rPr>
        <w:t xml:space="preserve"> (EUCRA 2024, IPCC AR6, ISO 14091).</w:t>
      </w:r>
    </w:p>
    <w:p w14:paraId="79F27B40" w14:textId="5387CDA4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Изостаје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системско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повезивање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Зеленом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агендом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Западни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Балкан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њеном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националном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транспозицијом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="00163201" w:rsidRPr="002F7060">
        <w:rPr>
          <w:color w:val="000000" w:themeColor="text1"/>
        </w:rPr>
        <w:t>Стратегиј</w:t>
      </w:r>
      <w:proofErr w:type="spellEnd"/>
      <w:r w:rsidR="00163201" w:rsidRPr="002F7060">
        <w:rPr>
          <w:color w:val="000000" w:themeColor="text1"/>
          <w:lang w:val="sr-Cyrl-RS"/>
        </w:rPr>
        <w:t>ом</w:t>
      </w:r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заштите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животне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средине</w:t>
      </w:r>
      <w:proofErr w:type="spellEnd"/>
      <w:r w:rsidR="00163201" w:rsidRPr="002F7060">
        <w:rPr>
          <w:color w:val="000000" w:themeColor="text1"/>
        </w:rPr>
        <w:t xml:space="preserve"> - </w:t>
      </w:r>
      <w:proofErr w:type="spellStart"/>
      <w:r w:rsidR="00163201" w:rsidRPr="002F7060">
        <w:rPr>
          <w:color w:val="000000" w:themeColor="text1"/>
        </w:rPr>
        <w:t>Зелена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Агенда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Републике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Србије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за</w:t>
      </w:r>
      <w:proofErr w:type="spellEnd"/>
      <w:r w:rsidR="00163201" w:rsidRPr="002F7060">
        <w:rPr>
          <w:color w:val="000000" w:themeColor="text1"/>
        </w:rPr>
        <w:t xml:space="preserve"> </w:t>
      </w:r>
      <w:proofErr w:type="spellStart"/>
      <w:r w:rsidR="00163201" w:rsidRPr="002F7060">
        <w:rPr>
          <w:color w:val="000000" w:themeColor="text1"/>
        </w:rPr>
        <w:t>период</w:t>
      </w:r>
      <w:proofErr w:type="spellEnd"/>
      <w:r w:rsidR="00163201" w:rsidRPr="002F7060">
        <w:rPr>
          <w:color w:val="000000" w:themeColor="text1"/>
        </w:rPr>
        <w:t xml:space="preserve"> 2024 - 2033. </w:t>
      </w:r>
      <w:proofErr w:type="spellStart"/>
      <w:r w:rsidR="00163201" w:rsidRPr="002F7060">
        <w:rPr>
          <w:color w:val="000000" w:themeColor="text1"/>
        </w:rPr>
        <w:t>годин</w:t>
      </w:r>
      <w:proofErr w:type="spellEnd"/>
      <w:r w:rsidR="00163201" w:rsidRPr="002F7060">
        <w:rPr>
          <w:color w:val="000000" w:themeColor="text1"/>
          <w:lang w:val="sr-Cyrl-RS"/>
        </w:rPr>
        <w:t>е</w:t>
      </w:r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иако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Стратегија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lastRenderedPageBreak/>
        <w:t>пољопривреде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изричито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проистиче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обавеза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преузетих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кроз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тај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Посебан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циљ</w:t>
      </w:r>
      <w:proofErr w:type="spellEnd"/>
      <w:r w:rsidRPr="002F7060">
        <w:rPr>
          <w:color w:val="000000" w:themeColor="text1"/>
        </w:rPr>
        <w:t xml:space="preserve"> 4).</w:t>
      </w:r>
    </w:p>
    <w:p w14:paraId="666F3956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</w:t>
      </w:r>
      <w:proofErr w:type="spellEnd"/>
      <w:r w:rsidRPr="002F7060">
        <w:rPr>
          <w:color w:val="000000" w:themeColor="text1"/>
        </w:rPr>
        <w:t xml:space="preserve"> у СПУ </w:t>
      </w:r>
      <w:proofErr w:type="spellStart"/>
      <w:r w:rsidRPr="002F7060">
        <w:rPr>
          <w:color w:val="000000" w:themeColor="text1"/>
        </w:rPr>
        <w:t>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третира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као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засебан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операционализован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концепт</w:t>
      </w:r>
      <w:proofErr w:type="spellEnd"/>
      <w:r w:rsidRPr="002F7060">
        <w:rPr>
          <w:color w:val="000000" w:themeColor="text1"/>
        </w:rPr>
        <w:t xml:space="preserve">. </w:t>
      </w:r>
      <w:proofErr w:type="spellStart"/>
      <w:r w:rsidRPr="002F7060">
        <w:rPr>
          <w:color w:val="000000" w:themeColor="text1"/>
        </w:rPr>
        <w:t>Иако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Извештај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помиње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екосистемске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услуге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одељак</w:t>
      </w:r>
      <w:proofErr w:type="spellEnd"/>
      <w:r w:rsidRPr="002F7060">
        <w:rPr>
          <w:color w:val="000000" w:themeColor="text1"/>
        </w:rPr>
        <w:t xml:space="preserve"> 1.2.4) и </w:t>
      </w:r>
      <w:proofErr w:type="spellStart"/>
      <w:r w:rsidRPr="002F7060">
        <w:rPr>
          <w:color w:val="000000" w:themeColor="text1"/>
        </w:rPr>
        <w:t>предеону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разноврсност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изостаје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експлицитна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примена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концепта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Решења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заснованих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природи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као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разматрање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алтернатива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ублажавање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утицаја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упркос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томе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што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национална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Зелена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агенда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садржи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посебне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мере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великих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малих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размера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Мера</w:t>
      </w:r>
      <w:proofErr w:type="spellEnd"/>
      <w:r w:rsidRPr="002F7060">
        <w:rPr>
          <w:color w:val="000000" w:themeColor="text1"/>
        </w:rPr>
        <w:t xml:space="preserve"> 1.1.11), </w:t>
      </w:r>
      <w:proofErr w:type="spellStart"/>
      <w:r w:rsidRPr="002F7060">
        <w:rPr>
          <w:color w:val="000000" w:themeColor="text1"/>
        </w:rPr>
        <w:t>зелену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инфраструктуру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Мера</w:t>
      </w:r>
      <w:proofErr w:type="spellEnd"/>
      <w:r w:rsidRPr="002F7060">
        <w:rPr>
          <w:color w:val="000000" w:themeColor="text1"/>
        </w:rPr>
        <w:t xml:space="preserve"> 1.2.4) и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биодиверзитет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Мера</w:t>
      </w:r>
      <w:proofErr w:type="spellEnd"/>
      <w:r w:rsidRPr="002F7060">
        <w:rPr>
          <w:color w:val="000000" w:themeColor="text1"/>
        </w:rPr>
        <w:t xml:space="preserve"> 4.1.6).</w:t>
      </w:r>
    </w:p>
    <w:p w14:paraId="53F79872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Анализа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претежно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своди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„</w:t>
      </w:r>
      <w:proofErr w:type="spellStart"/>
      <w:r w:rsidRPr="002F7060">
        <w:rPr>
          <w:color w:val="000000" w:themeColor="text1"/>
        </w:rPr>
        <w:t>снимак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proofErr w:type="gramStart"/>
      <w:r w:rsidRPr="002F7060">
        <w:rPr>
          <w:color w:val="000000" w:themeColor="text1"/>
        </w:rPr>
        <w:t>стања</w:t>
      </w:r>
      <w:proofErr w:type="spellEnd"/>
      <w:r w:rsidRPr="002F7060">
        <w:rPr>
          <w:color w:val="000000" w:themeColor="text1"/>
        </w:rPr>
        <w:t xml:space="preserve">“ </w:t>
      </w:r>
      <w:proofErr w:type="spellStart"/>
      <w:r w:rsidRPr="002F7060">
        <w:rPr>
          <w:color w:val="000000" w:themeColor="text1"/>
        </w:rPr>
        <w:t>уместо</w:t>
      </w:r>
      <w:proofErr w:type="spellEnd"/>
      <w:proofErr w:type="gram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еволуирајућу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основу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форвард</w:t>
      </w:r>
      <w:proofErr w:type="spellEnd"/>
      <w:r w:rsidRPr="002F7060">
        <w:rPr>
          <w:color w:val="000000" w:themeColor="text1"/>
        </w:rPr>
        <w:t xml:space="preserve">-looking </w:t>
      </w:r>
      <w:proofErr w:type="spellStart"/>
      <w:r w:rsidRPr="002F7060">
        <w:rPr>
          <w:color w:val="000000" w:themeColor="text1"/>
        </w:rPr>
        <w:t>климатским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пројекцијама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што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супротно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важећем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упутству</w:t>
      </w:r>
      <w:proofErr w:type="spellEnd"/>
      <w:r w:rsidRPr="002F7060">
        <w:rPr>
          <w:color w:val="000000" w:themeColor="text1"/>
        </w:rPr>
        <w:t xml:space="preserve"> ЕУ о </w:t>
      </w:r>
      <w:proofErr w:type="spellStart"/>
      <w:r w:rsidRPr="002F7060">
        <w:rPr>
          <w:color w:val="000000" w:themeColor="text1"/>
        </w:rPr>
        <w:t>интеграцији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климе</w:t>
      </w:r>
      <w:proofErr w:type="spellEnd"/>
      <w:r w:rsidRPr="002F7060">
        <w:rPr>
          <w:color w:val="000000" w:themeColor="text1"/>
        </w:rPr>
        <w:t xml:space="preserve"> у СПУ (2013) и </w:t>
      </w:r>
      <w:proofErr w:type="spellStart"/>
      <w:r w:rsidRPr="002F7060">
        <w:rPr>
          <w:color w:val="000000" w:themeColor="text1"/>
        </w:rPr>
        <w:t>новијим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документима</w:t>
      </w:r>
      <w:proofErr w:type="spellEnd"/>
      <w:r w:rsidRPr="002F7060">
        <w:rPr>
          <w:color w:val="000000" w:themeColor="text1"/>
        </w:rPr>
        <w:t>.</w:t>
      </w:r>
    </w:p>
    <w:p w14:paraId="5CA01F16" w14:textId="77777777" w:rsidR="00764A27" w:rsidRPr="002F7060" w:rsidRDefault="00000000">
      <w:pPr>
        <w:pStyle w:val="Heading1"/>
        <w:rPr>
          <w:color w:val="000000" w:themeColor="text1"/>
        </w:rPr>
      </w:pPr>
      <w:r w:rsidRPr="002F7060">
        <w:rPr>
          <w:color w:val="000000" w:themeColor="text1"/>
        </w:rPr>
        <w:t xml:space="preserve">3. </w:t>
      </w:r>
      <w:proofErr w:type="spellStart"/>
      <w:r w:rsidRPr="002F7060">
        <w:rPr>
          <w:color w:val="000000" w:themeColor="text1"/>
        </w:rPr>
        <w:t>Међународни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национални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релевантан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интеграцију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у СПУ</w:t>
      </w:r>
    </w:p>
    <w:p w14:paraId="05D56863" w14:textId="77777777" w:rsidR="00764A27" w:rsidRPr="002F7060" w:rsidRDefault="00000000">
      <w:pPr>
        <w:spacing w:after="12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Релевантан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чини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јасна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хијерархија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докумената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коју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је</w:t>
      </w:r>
      <w:proofErr w:type="spellEnd"/>
      <w:r w:rsidRPr="002F7060">
        <w:rPr>
          <w:color w:val="000000" w:themeColor="text1"/>
        </w:rPr>
        <w:t xml:space="preserve"> СПУ </w:t>
      </w:r>
      <w:proofErr w:type="spellStart"/>
      <w:r w:rsidRPr="002F7060">
        <w:rPr>
          <w:color w:val="000000" w:themeColor="text1"/>
        </w:rPr>
        <w:t>морала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уважи</w:t>
      </w:r>
      <w:proofErr w:type="spellEnd"/>
      <w:r w:rsidRPr="002F7060">
        <w:rPr>
          <w:color w:val="000000" w:themeColor="text1"/>
        </w:rPr>
        <w:t>:</w:t>
      </w:r>
    </w:p>
    <w:p w14:paraId="671245D3" w14:textId="77777777" w:rsidR="00764A27" w:rsidRPr="002F7060" w:rsidRDefault="00000000">
      <w:pPr>
        <w:pStyle w:val="Heading2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Међународни</w:t>
      </w:r>
      <w:proofErr w:type="spellEnd"/>
      <w:r w:rsidRPr="002F7060">
        <w:rPr>
          <w:color w:val="000000" w:themeColor="text1"/>
        </w:rPr>
        <w:t xml:space="preserve">/ЕУ </w:t>
      </w:r>
      <w:proofErr w:type="spellStart"/>
      <w:r w:rsidRPr="002F7060">
        <w:rPr>
          <w:color w:val="000000" w:themeColor="text1"/>
        </w:rPr>
        <w:t>ниво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политички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стратешки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</w:t>
      </w:r>
      <w:proofErr w:type="spellEnd"/>
      <w:r w:rsidRPr="002F7060">
        <w:rPr>
          <w:color w:val="000000" w:themeColor="text1"/>
        </w:rPr>
        <w:t>)</w:t>
      </w:r>
    </w:p>
    <w:p w14:paraId="430DA1C5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b/>
          <w:bCs/>
          <w:color w:val="000000" w:themeColor="text1"/>
        </w:rPr>
        <w:t>Европски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зелени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план</w:t>
      </w:r>
      <w:proofErr w:type="spellEnd"/>
      <w:r w:rsidRPr="002F7060">
        <w:rPr>
          <w:b/>
          <w:bCs/>
          <w:color w:val="000000" w:themeColor="text1"/>
        </w:rPr>
        <w:t xml:space="preserve"> (European Green Deal, 2019)</w:t>
      </w:r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кровна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развојна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стратегија</w:t>
      </w:r>
      <w:proofErr w:type="spellEnd"/>
      <w:r w:rsidRPr="002F7060">
        <w:rPr>
          <w:color w:val="000000" w:themeColor="text1"/>
        </w:rPr>
        <w:t xml:space="preserve"> ЕУ </w:t>
      </w:r>
      <w:proofErr w:type="spellStart"/>
      <w:r w:rsidRPr="002F7060">
        <w:rPr>
          <w:color w:val="000000" w:themeColor="text1"/>
        </w:rPr>
        <w:t>ка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климатској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неутралности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до</w:t>
      </w:r>
      <w:proofErr w:type="spellEnd"/>
      <w:r w:rsidRPr="002F7060">
        <w:rPr>
          <w:color w:val="000000" w:themeColor="text1"/>
        </w:rPr>
        <w:t xml:space="preserve"> 2050;</w:t>
      </w:r>
    </w:p>
    <w:p w14:paraId="7D03CE8A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b/>
          <w:bCs/>
          <w:color w:val="000000" w:themeColor="text1"/>
        </w:rPr>
        <w:t>Зелена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агенда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за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Западни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Балкан</w:t>
      </w:r>
      <w:proofErr w:type="spellEnd"/>
      <w:r w:rsidRPr="002F7060">
        <w:rPr>
          <w:b/>
          <w:bCs/>
          <w:color w:val="000000" w:themeColor="text1"/>
        </w:rPr>
        <w:t xml:space="preserve"> (</w:t>
      </w:r>
      <w:proofErr w:type="spellStart"/>
      <w:r w:rsidRPr="002F7060">
        <w:rPr>
          <w:b/>
          <w:bCs/>
          <w:color w:val="000000" w:themeColor="text1"/>
        </w:rPr>
        <w:t>Софијска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декларација</w:t>
      </w:r>
      <w:proofErr w:type="spellEnd"/>
      <w:r w:rsidRPr="002F7060">
        <w:rPr>
          <w:b/>
          <w:bCs/>
          <w:color w:val="000000" w:themeColor="text1"/>
        </w:rPr>
        <w:t xml:space="preserve">, 10. </w:t>
      </w:r>
      <w:proofErr w:type="spellStart"/>
      <w:r w:rsidRPr="002F7060">
        <w:rPr>
          <w:b/>
          <w:bCs/>
          <w:color w:val="000000" w:themeColor="text1"/>
        </w:rPr>
        <w:t>новембар</w:t>
      </w:r>
      <w:proofErr w:type="spellEnd"/>
      <w:r w:rsidRPr="002F7060">
        <w:rPr>
          <w:b/>
          <w:bCs/>
          <w:color w:val="000000" w:themeColor="text1"/>
        </w:rPr>
        <w:t xml:space="preserve"> 2020)</w:t>
      </w:r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Акционим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планом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период</w:t>
      </w:r>
      <w:proofErr w:type="spellEnd"/>
      <w:r w:rsidRPr="002F7060">
        <w:rPr>
          <w:color w:val="000000" w:themeColor="text1"/>
        </w:rPr>
        <w:t xml:space="preserve"> 2021. </w:t>
      </w:r>
      <w:proofErr w:type="spellStart"/>
      <w:r w:rsidRPr="002F7060">
        <w:rPr>
          <w:color w:val="000000" w:themeColor="text1"/>
        </w:rPr>
        <w:t>до</w:t>
      </w:r>
      <w:proofErr w:type="spellEnd"/>
      <w:r w:rsidRPr="002F7060">
        <w:rPr>
          <w:color w:val="000000" w:themeColor="text1"/>
        </w:rPr>
        <w:t xml:space="preserve"> 2030, </w:t>
      </w:r>
      <w:proofErr w:type="spellStart"/>
      <w:r w:rsidRPr="002F7060">
        <w:rPr>
          <w:color w:val="000000" w:themeColor="text1"/>
        </w:rPr>
        <w:t>регионална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транспозиција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Европског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зеленог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плана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изведена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кроз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пет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стубова</w:t>
      </w:r>
      <w:proofErr w:type="spellEnd"/>
      <w:r w:rsidRPr="002F7060">
        <w:rPr>
          <w:color w:val="000000" w:themeColor="text1"/>
        </w:rPr>
        <w:t xml:space="preserve">: (1) </w:t>
      </w:r>
      <w:proofErr w:type="spellStart"/>
      <w:r w:rsidRPr="002F7060">
        <w:rPr>
          <w:color w:val="000000" w:themeColor="text1"/>
        </w:rPr>
        <w:t>климатска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акција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декарбонизација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енергетика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мобилност</w:t>
      </w:r>
      <w:proofErr w:type="spellEnd"/>
      <w:r w:rsidRPr="002F7060">
        <w:rPr>
          <w:color w:val="000000" w:themeColor="text1"/>
        </w:rPr>
        <w:t xml:space="preserve">), (2) </w:t>
      </w:r>
      <w:proofErr w:type="spellStart"/>
      <w:r w:rsidRPr="002F7060">
        <w:rPr>
          <w:color w:val="000000" w:themeColor="text1"/>
        </w:rPr>
        <w:t>циркуларна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економија</w:t>
      </w:r>
      <w:proofErr w:type="spellEnd"/>
      <w:r w:rsidRPr="002F7060">
        <w:rPr>
          <w:color w:val="000000" w:themeColor="text1"/>
        </w:rPr>
        <w:t xml:space="preserve">, (3) </w:t>
      </w:r>
      <w:proofErr w:type="spellStart"/>
      <w:r w:rsidRPr="002F7060">
        <w:rPr>
          <w:color w:val="000000" w:themeColor="text1"/>
        </w:rPr>
        <w:t>биодиверзитет</w:t>
      </w:r>
      <w:proofErr w:type="spellEnd"/>
      <w:r w:rsidRPr="002F7060">
        <w:rPr>
          <w:color w:val="000000" w:themeColor="text1"/>
        </w:rPr>
        <w:t xml:space="preserve">, (4) </w:t>
      </w:r>
      <w:proofErr w:type="spellStart"/>
      <w:r w:rsidRPr="002F7060">
        <w:rPr>
          <w:color w:val="000000" w:themeColor="text1"/>
        </w:rPr>
        <w:t>борба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против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загађења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ваздуха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воде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земљишта</w:t>
      </w:r>
      <w:proofErr w:type="spellEnd"/>
      <w:r w:rsidRPr="002F7060">
        <w:rPr>
          <w:color w:val="000000" w:themeColor="text1"/>
        </w:rPr>
        <w:t xml:space="preserve">, (5) </w:t>
      </w:r>
      <w:proofErr w:type="spellStart"/>
      <w:r w:rsidRPr="002F7060">
        <w:rPr>
          <w:color w:val="000000" w:themeColor="text1"/>
        </w:rPr>
        <w:t>одрживи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прехрамбени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системи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рурална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подручја</w:t>
      </w:r>
      <w:proofErr w:type="spellEnd"/>
      <w:r w:rsidRPr="002F7060">
        <w:rPr>
          <w:color w:val="000000" w:themeColor="text1"/>
        </w:rPr>
        <w:t xml:space="preserve">. </w:t>
      </w:r>
      <w:proofErr w:type="spellStart"/>
      <w:r w:rsidRPr="002F7060">
        <w:rPr>
          <w:color w:val="000000" w:themeColor="text1"/>
        </w:rPr>
        <w:t>Усвајањем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доприноси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испуњавању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Поглавља</w:t>
      </w:r>
      <w:proofErr w:type="spellEnd"/>
      <w:r w:rsidRPr="002F7060">
        <w:rPr>
          <w:color w:val="000000" w:themeColor="text1"/>
        </w:rPr>
        <w:t xml:space="preserve"> 27 (</w:t>
      </w:r>
      <w:proofErr w:type="spellStart"/>
      <w:r w:rsidRPr="002F7060">
        <w:rPr>
          <w:color w:val="000000" w:themeColor="text1"/>
        </w:rPr>
        <w:t>животна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средина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климатске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промене</w:t>
      </w:r>
      <w:proofErr w:type="spellEnd"/>
      <w:r w:rsidRPr="002F7060">
        <w:rPr>
          <w:color w:val="000000" w:themeColor="text1"/>
        </w:rPr>
        <w:t>);</w:t>
      </w:r>
    </w:p>
    <w:p w14:paraId="16178B62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r w:rsidRPr="002F7060">
        <w:rPr>
          <w:b/>
          <w:bCs/>
          <w:color w:val="000000" w:themeColor="text1"/>
        </w:rPr>
        <w:t xml:space="preserve">UNFCCC и </w:t>
      </w:r>
      <w:proofErr w:type="spellStart"/>
      <w:r w:rsidRPr="002F7060">
        <w:rPr>
          <w:b/>
          <w:bCs/>
          <w:color w:val="000000" w:themeColor="text1"/>
        </w:rPr>
        <w:t>Париски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споразум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основ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Национално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утврђени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допринос</w:t>
      </w:r>
      <w:proofErr w:type="spellEnd"/>
      <w:r w:rsidRPr="002F7060">
        <w:rPr>
          <w:color w:val="000000" w:themeColor="text1"/>
        </w:rPr>
        <w:t xml:space="preserve"> (NDC) и </w:t>
      </w:r>
      <w:proofErr w:type="spellStart"/>
      <w:r w:rsidRPr="002F7060">
        <w:rPr>
          <w:color w:val="000000" w:themeColor="text1"/>
        </w:rPr>
        <w:t>Глобално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обећање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смањења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метана</w:t>
      </w:r>
      <w:proofErr w:type="spellEnd"/>
      <w:r w:rsidRPr="002F7060">
        <w:rPr>
          <w:color w:val="000000" w:themeColor="text1"/>
        </w:rPr>
        <w:t xml:space="preserve"> (Global Methane Pledge), </w:t>
      </w:r>
      <w:proofErr w:type="spellStart"/>
      <w:r w:rsidRPr="002F7060">
        <w:rPr>
          <w:color w:val="000000" w:themeColor="text1"/>
        </w:rPr>
        <w:t>посебно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релевантно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сточарство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управљање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стајњаком</w:t>
      </w:r>
      <w:proofErr w:type="spellEnd"/>
      <w:r w:rsidRPr="002F7060">
        <w:rPr>
          <w:color w:val="000000" w:themeColor="text1"/>
        </w:rPr>
        <w:t>;</w:t>
      </w:r>
    </w:p>
    <w:p w14:paraId="204ADCD6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компоненте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Зеленог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плана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директно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релевантне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пољопривреду</w:t>
      </w:r>
      <w:proofErr w:type="spellEnd"/>
      <w:r w:rsidRPr="002F7060">
        <w:rPr>
          <w:color w:val="000000" w:themeColor="text1"/>
        </w:rPr>
        <w:t xml:space="preserve">: </w:t>
      </w:r>
      <w:proofErr w:type="spellStart"/>
      <w:r w:rsidRPr="002F7060">
        <w:rPr>
          <w:b/>
          <w:bCs/>
          <w:color w:val="000000" w:themeColor="text1"/>
        </w:rPr>
        <w:t>стратегија</w:t>
      </w:r>
      <w:proofErr w:type="spellEnd"/>
      <w:r w:rsidRPr="002F7060">
        <w:rPr>
          <w:b/>
          <w:bCs/>
          <w:color w:val="000000" w:themeColor="text1"/>
        </w:rPr>
        <w:t xml:space="preserve"> „</w:t>
      </w:r>
      <w:proofErr w:type="spellStart"/>
      <w:r w:rsidRPr="002F7060">
        <w:rPr>
          <w:b/>
          <w:bCs/>
          <w:color w:val="000000" w:themeColor="text1"/>
        </w:rPr>
        <w:t>Од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њиве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до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proofErr w:type="gramStart"/>
      <w:r w:rsidRPr="002F7060">
        <w:rPr>
          <w:b/>
          <w:bCs/>
          <w:color w:val="000000" w:themeColor="text1"/>
        </w:rPr>
        <w:t>трпезе</w:t>
      </w:r>
      <w:proofErr w:type="spellEnd"/>
      <w:r w:rsidRPr="002F7060">
        <w:rPr>
          <w:b/>
          <w:bCs/>
          <w:color w:val="000000" w:themeColor="text1"/>
        </w:rPr>
        <w:t>“</w:t>
      </w:r>
      <w:r w:rsidRPr="002F7060">
        <w:rPr>
          <w:color w:val="000000" w:themeColor="text1"/>
        </w:rPr>
        <w:t xml:space="preserve"> (</w:t>
      </w:r>
      <w:proofErr w:type="spellStart"/>
      <w:proofErr w:type="gramEnd"/>
      <w:r w:rsidRPr="002F7060">
        <w:rPr>
          <w:color w:val="000000" w:themeColor="text1"/>
        </w:rPr>
        <w:t>смањење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употребе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ђубрива</w:t>
      </w:r>
      <w:proofErr w:type="spellEnd"/>
      <w:r w:rsidRPr="002F7060">
        <w:rPr>
          <w:color w:val="000000" w:themeColor="text1"/>
        </w:rPr>
        <w:t xml:space="preserve"> ≥20% и </w:t>
      </w:r>
      <w:proofErr w:type="spellStart"/>
      <w:r w:rsidRPr="002F7060">
        <w:rPr>
          <w:color w:val="000000" w:themeColor="text1"/>
        </w:rPr>
        <w:t>губитака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нутријената</w:t>
      </w:r>
      <w:proofErr w:type="spellEnd"/>
      <w:r w:rsidRPr="002F7060">
        <w:rPr>
          <w:color w:val="000000" w:themeColor="text1"/>
        </w:rPr>
        <w:t xml:space="preserve"> ≥50% </w:t>
      </w:r>
      <w:proofErr w:type="spellStart"/>
      <w:r w:rsidRPr="002F7060">
        <w:rPr>
          <w:color w:val="000000" w:themeColor="text1"/>
        </w:rPr>
        <w:t>до</w:t>
      </w:r>
      <w:proofErr w:type="spellEnd"/>
      <w:r w:rsidRPr="002F7060">
        <w:rPr>
          <w:color w:val="000000" w:themeColor="text1"/>
        </w:rPr>
        <w:t xml:space="preserve"> 2030), </w:t>
      </w:r>
      <w:proofErr w:type="spellStart"/>
      <w:r w:rsidRPr="002F7060">
        <w:rPr>
          <w:b/>
          <w:bCs/>
          <w:color w:val="000000" w:themeColor="text1"/>
        </w:rPr>
        <w:t>Стратегија</w:t>
      </w:r>
      <w:proofErr w:type="spellEnd"/>
      <w:r w:rsidRPr="002F7060">
        <w:rPr>
          <w:b/>
          <w:bCs/>
          <w:color w:val="000000" w:themeColor="text1"/>
        </w:rPr>
        <w:t xml:space="preserve"> ЕУ </w:t>
      </w:r>
      <w:proofErr w:type="spellStart"/>
      <w:r w:rsidRPr="002F7060">
        <w:rPr>
          <w:b/>
          <w:bCs/>
          <w:color w:val="000000" w:themeColor="text1"/>
        </w:rPr>
        <w:t>за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биодиверзитет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до</w:t>
      </w:r>
      <w:proofErr w:type="spellEnd"/>
      <w:r w:rsidRPr="002F7060">
        <w:rPr>
          <w:b/>
          <w:bCs/>
          <w:color w:val="000000" w:themeColor="text1"/>
        </w:rPr>
        <w:t xml:space="preserve"> 2030</w:t>
      </w:r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b/>
          <w:bCs/>
          <w:color w:val="000000" w:themeColor="text1"/>
        </w:rPr>
        <w:t>Закон</w:t>
      </w:r>
      <w:proofErr w:type="spellEnd"/>
      <w:r w:rsidRPr="002F7060">
        <w:rPr>
          <w:b/>
          <w:bCs/>
          <w:color w:val="000000" w:themeColor="text1"/>
        </w:rPr>
        <w:t xml:space="preserve"> ЕУ о </w:t>
      </w:r>
      <w:proofErr w:type="spellStart"/>
      <w:r w:rsidRPr="002F7060">
        <w:rPr>
          <w:b/>
          <w:bCs/>
          <w:color w:val="000000" w:themeColor="text1"/>
        </w:rPr>
        <w:t>клими</w:t>
      </w:r>
      <w:proofErr w:type="spellEnd"/>
      <w:r w:rsidRPr="002F7060">
        <w:rPr>
          <w:color w:val="000000" w:themeColor="text1"/>
        </w:rPr>
        <w:t>.</w:t>
      </w:r>
    </w:p>
    <w:p w14:paraId="7306B3FD" w14:textId="77777777" w:rsidR="00764A27" w:rsidRPr="002F7060" w:rsidRDefault="00000000">
      <w:pPr>
        <w:pStyle w:val="Heading2"/>
        <w:rPr>
          <w:color w:val="000000" w:themeColor="text1"/>
        </w:rPr>
      </w:pPr>
      <w:r w:rsidRPr="002F7060">
        <w:rPr>
          <w:color w:val="000000" w:themeColor="text1"/>
        </w:rPr>
        <w:t xml:space="preserve">ЕУ </w:t>
      </w:r>
      <w:proofErr w:type="spellStart"/>
      <w:r w:rsidRPr="002F7060">
        <w:rPr>
          <w:color w:val="000000" w:themeColor="text1"/>
        </w:rPr>
        <w:t>методолошки</w:t>
      </w:r>
      <w:proofErr w:type="spellEnd"/>
      <w:r w:rsidRPr="002F7060">
        <w:rPr>
          <w:color w:val="000000" w:themeColor="text1"/>
        </w:rPr>
        <w:t>/</w:t>
      </w:r>
      <w:proofErr w:type="spellStart"/>
      <w:r w:rsidRPr="002F7060">
        <w:rPr>
          <w:color w:val="000000" w:themeColor="text1"/>
        </w:rPr>
        <w:t>технички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ниво</w:t>
      </w:r>
      <w:proofErr w:type="spellEnd"/>
    </w:p>
    <w:p w14:paraId="6333DE3B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b/>
          <w:bCs/>
          <w:color w:val="000000" w:themeColor="text1"/>
        </w:rPr>
        <w:t>Упутство</w:t>
      </w:r>
      <w:proofErr w:type="spellEnd"/>
      <w:r w:rsidRPr="002F7060">
        <w:rPr>
          <w:b/>
          <w:bCs/>
          <w:color w:val="000000" w:themeColor="text1"/>
        </w:rPr>
        <w:t xml:space="preserve"> ЕК „Guidance on Integrating Climate Change and Biodiversity into </w:t>
      </w:r>
      <w:proofErr w:type="gramStart"/>
      <w:r w:rsidRPr="002F7060">
        <w:rPr>
          <w:b/>
          <w:bCs/>
          <w:color w:val="000000" w:themeColor="text1"/>
        </w:rPr>
        <w:t>SEA“ (</w:t>
      </w:r>
      <w:proofErr w:type="gramEnd"/>
      <w:r w:rsidRPr="002F7060">
        <w:rPr>
          <w:b/>
          <w:bCs/>
          <w:color w:val="000000" w:themeColor="text1"/>
        </w:rPr>
        <w:t>2013)</w:t>
      </w:r>
      <w:r w:rsidRPr="002F7060">
        <w:rPr>
          <w:color w:val="000000" w:themeColor="text1"/>
        </w:rPr>
        <w:t xml:space="preserve">, и </w:t>
      </w:r>
      <w:proofErr w:type="spellStart"/>
      <w:r w:rsidRPr="002F7060">
        <w:rPr>
          <w:color w:val="000000" w:themeColor="text1"/>
        </w:rPr>
        <w:t>даље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важећа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основна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методолошка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референца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двосмерни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приступ</w:t>
      </w:r>
      <w:proofErr w:type="spellEnd"/>
      <w:r w:rsidRPr="002F7060">
        <w:rPr>
          <w:color w:val="000000" w:themeColor="text1"/>
        </w:rPr>
        <w:t xml:space="preserve">: </w:t>
      </w:r>
      <w:proofErr w:type="spellStart"/>
      <w:r w:rsidRPr="002F7060">
        <w:rPr>
          <w:color w:val="000000" w:themeColor="text1"/>
        </w:rPr>
        <w:t>утицај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плана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климу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утицај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план</w:t>
      </w:r>
      <w:proofErr w:type="spellEnd"/>
      <w:r w:rsidRPr="002F7060">
        <w:rPr>
          <w:color w:val="000000" w:themeColor="text1"/>
        </w:rPr>
        <w:t>);</w:t>
      </w:r>
    </w:p>
    <w:p w14:paraId="57E157DF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b/>
          <w:bCs/>
          <w:color w:val="000000" w:themeColor="text1"/>
        </w:rPr>
        <w:t>Техничке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смернице</w:t>
      </w:r>
      <w:proofErr w:type="spellEnd"/>
      <w:r w:rsidRPr="002F7060">
        <w:rPr>
          <w:b/>
          <w:bCs/>
          <w:color w:val="000000" w:themeColor="text1"/>
        </w:rPr>
        <w:t xml:space="preserve"> ЕК 2021/C 373/01 о climate proofing-у </w:t>
      </w:r>
      <w:proofErr w:type="spellStart"/>
      <w:r w:rsidRPr="002F7060">
        <w:rPr>
          <w:b/>
          <w:bCs/>
          <w:color w:val="000000" w:themeColor="text1"/>
        </w:rPr>
        <w:t>инфраструктуре</w:t>
      </w:r>
      <w:proofErr w:type="spellEnd"/>
      <w:r w:rsidRPr="002F7060">
        <w:rPr>
          <w:b/>
          <w:bCs/>
          <w:color w:val="000000" w:themeColor="text1"/>
        </w:rPr>
        <w:t xml:space="preserve"> (</w:t>
      </w:r>
      <w:proofErr w:type="spellStart"/>
      <w:r w:rsidRPr="002F7060">
        <w:rPr>
          <w:b/>
          <w:bCs/>
          <w:color w:val="000000" w:themeColor="text1"/>
        </w:rPr>
        <w:t>за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период</w:t>
      </w:r>
      <w:proofErr w:type="spellEnd"/>
      <w:r w:rsidRPr="002F7060">
        <w:rPr>
          <w:b/>
          <w:bCs/>
          <w:color w:val="000000" w:themeColor="text1"/>
        </w:rPr>
        <w:t xml:space="preserve"> 2021. </w:t>
      </w:r>
      <w:proofErr w:type="spellStart"/>
      <w:r w:rsidRPr="002F7060">
        <w:rPr>
          <w:b/>
          <w:bCs/>
          <w:color w:val="000000" w:themeColor="text1"/>
        </w:rPr>
        <w:t>до</w:t>
      </w:r>
      <w:proofErr w:type="spellEnd"/>
      <w:r w:rsidRPr="002F7060">
        <w:rPr>
          <w:b/>
          <w:bCs/>
          <w:color w:val="000000" w:themeColor="text1"/>
        </w:rPr>
        <w:t xml:space="preserve"> 2027)</w:t>
      </w:r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интегришу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климатско</w:t>
      </w:r>
      <w:proofErr w:type="spellEnd"/>
      <w:r w:rsidRPr="002F7060">
        <w:rPr>
          <w:color w:val="000000" w:themeColor="text1"/>
        </w:rPr>
        <w:t xml:space="preserve"> „</w:t>
      </w:r>
      <w:proofErr w:type="spellStart"/>
      <w:proofErr w:type="gramStart"/>
      <w:r w:rsidRPr="002F7060">
        <w:rPr>
          <w:color w:val="000000" w:themeColor="text1"/>
        </w:rPr>
        <w:t>прескринирање</w:t>
      </w:r>
      <w:proofErr w:type="spellEnd"/>
      <w:r w:rsidRPr="002F7060">
        <w:rPr>
          <w:color w:val="000000" w:themeColor="text1"/>
        </w:rPr>
        <w:t xml:space="preserve">“ </w:t>
      </w:r>
      <w:proofErr w:type="spellStart"/>
      <w:r w:rsidRPr="002F7060">
        <w:rPr>
          <w:color w:val="000000" w:themeColor="text1"/>
        </w:rPr>
        <w:t>са</w:t>
      </w:r>
      <w:proofErr w:type="spellEnd"/>
      <w:proofErr w:type="gram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поступцима</w:t>
      </w:r>
      <w:proofErr w:type="spellEnd"/>
      <w:r w:rsidRPr="002F7060">
        <w:rPr>
          <w:color w:val="000000" w:themeColor="text1"/>
        </w:rPr>
        <w:t xml:space="preserve"> EIA и SEA и </w:t>
      </w:r>
      <w:proofErr w:type="spellStart"/>
      <w:r w:rsidRPr="002F7060">
        <w:rPr>
          <w:color w:val="000000" w:themeColor="text1"/>
        </w:rPr>
        <w:t>форвард</w:t>
      </w:r>
      <w:proofErr w:type="spellEnd"/>
      <w:r w:rsidRPr="002F7060">
        <w:rPr>
          <w:color w:val="000000" w:themeColor="text1"/>
        </w:rPr>
        <w:t xml:space="preserve">-looking </w:t>
      </w:r>
      <w:proofErr w:type="spellStart"/>
      <w:r w:rsidRPr="002F7060">
        <w:rPr>
          <w:color w:val="000000" w:themeColor="text1"/>
        </w:rPr>
        <w:t>климатским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пројекцијама</w:t>
      </w:r>
      <w:proofErr w:type="spellEnd"/>
      <w:r w:rsidRPr="002F7060">
        <w:rPr>
          <w:color w:val="000000" w:themeColor="text1"/>
        </w:rPr>
        <w:t>;</w:t>
      </w:r>
    </w:p>
    <w:p w14:paraId="7AF4E910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b/>
          <w:bCs/>
          <w:color w:val="000000" w:themeColor="text1"/>
        </w:rPr>
        <w:t>Европска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процена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климатског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ризика</w:t>
      </w:r>
      <w:proofErr w:type="spellEnd"/>
      <w:r w:rsidRPr="002F7060">
        <w:rPr>
          <w:b/>
          <w:bCs/>
          <w:color w:val="000000" w:themeColor="text1"/>
        </w:rPr>
        <w:t xml:space="preserve"> (EUCRA) и </w:t>
      </w:r>
      <w:proofErr w:type="spellStart"/>
      <w:r w:rsidRPr="002F7060">
        <w:rPr>
          <w:b/>
          <w:bCs/>
          <w:color w:val="000000" w:themeColor="text1"/>
        </w:rPr>
        <w:t>Комуникација</w:t>
      </w:r>
      <w:proofErr w:type="spellEnd"/>
      <w:r w:rsidRPr="002F7060">
        <w:rPr>
          <w:b/>
          <w:bCs/>
          <w:color w:val="000000" w:themeColor="text1"/>
        </w:rPr>
        <w:t xml:space="preserve"> ЕК „Managing climate </w:t>
      </w:r>
      <w:proofErr w:type="gramStart"/>
      <w:r w:rsidRPr="002F7060">
        <w:rPr>
          <w:b/>
          <w:bCs/>
          <w:color w:val="000000" w:themeColor="text1"/>
        </w:rPr>
        <w:t>risks“ (</w:t>
      </w:r>
      <w:proofErr w:type="gramEnd"/>
      <w:r w:rsidRPr="002F7060">
        <w:rPr>
          <w:b/>
          <w:bCs/>
          <w:color w:val="000000" w:themeColor="text1"/>
        </w:rPr>
        <w:t>2024)</w:t>
      </w:r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примењују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концепт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ризика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</w:t>
      </w:r>
      <w:proofErr w:type="spellEnd"/>
      <w:r w:rsidRPr="002F7060">
        <w:rPr>
          <w:color w:val="000000" w:themeColor="text1"/>
        </w:rPr>
        <w:t xml:space="preserve"> IPCC AR6 и </w:t>
      </w:r>
      <w:proofErr w:type="spellStart"/>
      <w:r w:rsidRPr="002F7060">
        <w:rPr>
          <w:color w:val="000000" w:themeColor="text1"/>
        </w:rPr>
        <w:t>стандарде</w:t>
      </w:r>
      <w:proofErr w:type="spellEnd"/>
      <w:r w:rsidRPr="002F7060">
        <w:rPr>
          <w:color w:val="000000" w:themeColor="text1"/>
        </w:rPr>
        <w:t xml:space="preserve"> ISO 31000 и ISO 14091.</w:t>
      </w:r>
    </w:p>
    <w:p w14:paraId="02216CEB" w14:textId="77777777" w:rsidR="002F7060" w:rsidRPr="002F7060" w:rsidRDefault="002F706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</w:p>
    <w:p w14:paraId="209E0FF6" w14:textId="77777777" w:rsidR="00764A27" w:rsidRPr="002F7060" w:rsidRDefault="00000000">
      <w:pPr>
        <w:pStyle w:val="Heading2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lastRenderedPageBreak/>
        <w:t>Национални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ниво</w:t>
      </w:r>
      <w:proofErr w:type="spellEnd"/>
    </w:p>
    <w:p w14:paraId="6AD721A9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b/>
          <w:bCs/>
          <w:color w:val="000000" w:themeColor="text1"/>
        </w:rPr>
        <w:t>Зелена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агенда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за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Србију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Стратегија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заштите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животне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средине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Акционим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планом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период</w:t>
      </w:r>
      <w:proofErr w:type="spellEnd"/>
      <w:r w:rsidRPr="002F7060">
        <w:rPr>
          <w:color w:val="000000" w:themeColor="text1"/>
        </w:rPr>
        <w:t xml:space="preserve"> 2025. </w:t>
      </w:r>
      <w:proofErr w:type="spellStart"/>
      <w:r w:rsidRPr="002F7060">
        <w:rPr>
          <w:color w:val="000000" w:themeColor="text1"/>
        </w:rPr>
        <w:t>до</w:t>
      </w:r>
      <w:proofErr w:type="spellEnd"/>
      <w:r w:rsidRPr="002F7060">
        <w:rPr>
          <w:color w:val="000000" w:themeColor="text1"/>
        </w:rPr>
        <w:t xml:space="preserve"> 2033), </w:t>
      </w:r>
      <w:proofErr w:type="spellStart"/>
      <w:r w:rsidRPr="002F7060">
        <w:rPr>
          <w:color w:val="000000" w:themeColor="text1"/>
        </w:rPr>
        <w:t>национална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транспозиција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регионалне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Зелене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агенде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изричитим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мерама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интеграцију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климе</w:t>
      </w:r>
      <w:proofErr w:type="spellEnd"/>
      <w:r w:rsidRPr="002F7060">
        <w:rPr>
          <w:color w:val="000000" w:themeColor="text1"/>
        </w:rPr>
        <w:t xml:space="preserve"> у СПУ/ПУ (</w:t>
      </w:r>
      <w:proofErr w:type="spellStart"/>
      <w:r w:rsidRPr="002F7060">
        <w:rPr>
          <w:color w:val="000000" w:themeColor="text1"/>
        </w:rPr>
        <w:t>Мера</w:t>
      </w:r>
      <w:proofErr w:type="spellEnd"/>
      <w:r w:rsidRPr="002F7060">
        <w:rPr>
          <w:color w:val="000000" w:themeColor="text1"/>
        </w:rPr>
        <w:t xml:space="preserve"> 1.1.2) и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Мере</w:t>
      </w:r>
      <w:proofErr w:type="spellEnd"/>
      <w:r w:rsidRPr="002F7060">
        <w:rPr>
          <w:color w:val="000000" w:themeColor="text1"/>
        </w:rPr>
        <w:t xml:space="preserve"> 1.1.11, 1.2.4, 4.1.6);</w:t>
      </w:r>
    </w:p>
    <w:p w14:paraId="5A3353AB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b/>
          <w:bCs/>
          <w:color w:val="000000" w:themeColor="text1"/>
        </w:rPr>
        <w:t>Стратегија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нискоугљеничног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развоја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циљ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смањења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емисија</w:t>
      </w:r>
      <w:proofErr w:type="spellEnd"/>
      <w:r w:rsidRPr="002F7060">
        <w:rPr>
          <w:color w:val="000000" w:themeColor="text1"/>
        </w:rPr>
        <w:t xml:space="preserve"> ГХГ </w:t>
      </w:r>
      <w:proofErr w:type="spellStart"/>
      <w:r w:rsidRPr="002F7060">
        <w:rPr>
          <w:color w:val="000000" w:themeColor="text1"/>
        </w:rPr>
        <w:t>без</w:t>
      </w:r>
      <w:proofErr w:type="spellEnd"/>
      <w:r w:rsidRPr="002F7060">
        <w:rPr>
          <w:color w:val="000000" w:themeColor="text1"/>
        </w:rPr>
        <w:t xml:space="preserve"> LULUCF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33,3% </w:t>
      </w:r>
      <w:proofErr w:type="spellStart"/>
      <w:r w:rsidRPr="002F7060">
        <w:rPr>
          <w:color w:val="000000" w:themeColor="text1"/>
        </w:rPr>
        <w:t>до</w:t>
      </w:r>
      <w:proofErr w:type="spellEnd"/>
      <w:r w:rsidRPr="002F7060">
        <w:rPr>
          <w:color w:val="000000" w:themeColor="text1"/>
        </w:rPr>
        <w:t xml:space="preserve"> 2030; </w:t>
      </w:r>
      <w:proofErr w:type="spellStart"/>
      <w:r w:rsidRPr="002F7060">
        <w:rPr>
          <w:color w:val="000000" w:themeColor="text1"/>
        </w:rPr>
        <w:t>секторски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циљ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пољопривреду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смањење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27,4% </w:t>
      </w:r>
      <w:proofErr w:type="spellStart"/>
      <w:r w:rsidRPr="002F7060">
        <w:rPr>
          <w:color w:val="000000" w:themeColor="text1"/>
        </w:rPr>
        <w:t>до</w:t>
      </w:r>
      <w:proofErr w:type="spellEnd"/>
      <w:r w:rsidRPr="002F7060">
        <w:rPr>
          <w:color w:val="000000" w:themeColor="text1"/>
        </w:rPr>
        <w:t xml:space="preserve"> 2030. у </w:t>
      </w:r>
      <w:proofErr w:type="spellStart"/>
      <w:r w:rsidRPr="002F7060">
        <w:rPr>
          <w:color w:val="000000" w:themeColor="text1"/>
        </w:rPr>
        <w:t>односу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1990), </w:t>
      </w:r>
      <w:r w:rsidRPr="002F7060">
        <w:rPr>
          <w:b/>
          <w:bCs/>
          <w:color w:val="000000" w:themeColor="text1"/>
        </w:rPr>
        <w:t>ИНЕКП</w:t>
      </w:r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b/>
          <w:bCs/>
          <w:color w:val="000000" w:themeColor="text1"/>
        </w:rPr>
        <w:t>Закон</w:t>
      </w:r>
      <w:proofErr w:type="spellEnd"/>
      <w:r w:rsidRPr="002F7060">
        <w:rPr>
          <w:b/>
          <w:bCs/>
          <w:color w:val="000000" w:themeColor="text1"/>
        </w:rPr>
        <w:t xml:space="preserve"> о </w:t>
      </w:r>
      <w:proofErr w:type="spellStart"/>
      <w:r w:rsidRPr="002F7060">
        <w:rPr>
          <w:b/>
          <w:bCs/>
          <w:color w:val="000000" w:themeColor="text1"/>
        </w:rPr>
        <w:t>климатским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променама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b/>
          <w:bCs/>
          <w:color w:val="000000" w:themeColor="text1"/>
        </w:rPr>
        <w:t>Програм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прилагођавања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на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измењене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климатске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услове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за</w:t>
      </w:r>
      <w:proofErr w:type="spellEnd"/>
      <w:r w:rsidRPr="002F7060">
        <w:rPr>
          <w:b/>
          <w:bCs/>
          <w:color w:val="000000" w:themeColor="text1"/>
        </w:rPr>
        <w:t xml:space="preserve"> </w:t>
      </w:r>
      <w:proofErr w:type="spellStart"/>
      <w:r w:rsidRPr="002F7060">
        <w:rPr>
          <w:b/>
          <w:bCs/>
          <w:color w:val="000000" w:themeColor="text1"/>
        </w:rPr>
        <w:t>период</w:t>
      </w:r>
      <w:proofErr w:type="spellEnd"/>
      <w:r w:rsidRPr="002F7060">
        <w:rPr>
          <w:b/>
          <w:bCs/>
          <w:color w:val="000000" w:themeColor="text1"/>
        </w:rPr>
        <w:t xml:space="preserve"> 2023. </w:t>
      </w:r>
      <w:proofErr w:type="spellStart"/>
      <w:r w:rsidRPr="002F7060">
        <w:rPr>
          <w:b/>
          <w:bCs/>
          <w:color w:val="000000" w:themeColor="text1"/>
        </w:rPr>
        <w:t>до</w:t>
      </w:r>
      <w:proofErr w:type="spellEnd"/>
      <w:r w:rsidRPr="002F7060">
        <w:rPr>
          <w:b/>
          <w:bCs/>
          <w:color w:val="000000" w:themeColor="text1"/>
        </w:rPr>
        <w:t xml:space="preserve"> 2030</w:t>
      </w:r>
      <w:r w:rsidRPr="002F7060">
        <w:rPr>
          <w:color w:val="000000" w:themeColor="text1"/>
        </w:rPr>
        <w:t>.</w:t>
      </w:r>
    </w:p>
    <w:p w14:paraId="7E1DA9F3" w14:textId="77777777" w:rsidR="00764A27" w:rsidRPr="002F7060" w:rsidRDefault="00000000">
      <w:pPr>
        <w:spacing w:after="12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</w:t>
      </w:r>
      <w:proofErr w:type="spellEnd"/>
      <w:r w:rsidRPr="002F7060">
        <w:rPr>
          <w:color w:val="000000" w:themeColor="text1"/>
        </w:rPr>
        <w:t xml:space="preserve">, у </w:t>
      </w:r>
      <w:proofErr w:type="spellStart"/>
      <w:r w:rsidRPr="002F7060">
        <w:rPr>
          <w:color w:val="000000" w:themeColor="text1"/>
        </w:rPr>
        <w:t>складу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овим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оквиром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дефинишу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као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акције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заштите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одрживог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управљања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обнављања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природних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или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измењених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екосистема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одговарају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друштвене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изазове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истовремено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доносе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вишеструке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користи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људе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биодиверзитет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ублажавање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прилагођавање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управљање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поплавама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мочварним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подручјима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очување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угљеника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земљишту</w:t>
      </w:r>
      <w:proofErr w:type="spellEnd"/>
      <w:r w:rsidRPr="002F7060">
        <w:rPr>
          <w:color w:val="000000" w:themeColor="text1"/>
        </w:rPr>
        <w:t xml:space="preserve">). У </w:t>
      </w:r>
      <w:proofErr w:type="spellStart"/>
      <w:r w:rsidRPr="002F7060">
        <w:rPr>
          <w:color w:val="000000" w:themeColor="text1"/>
        </w:rPr>
        <w:t>контексту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пољопривреде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укључује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агрошумарство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пољозаштитне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појасеве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обнову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плавних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подручја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влажних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станишта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очување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органске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материје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земљишту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зелену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инфраструктуру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еколошки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засноване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приступе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управљању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водама</w:t>
      </w:r>
      <w:proofErr w:type="spellEnd"/>
      <w:r w:rsidRPr="002F7060">
        <w:rPr>
          <w:color w:val="000000" w:themeColor="text1"/>
        </w:rPr>
        <w:t>.</w:t>
      </w:r>
    </w:p>
    <w:p w14:paraId="530DBF85" w14:textId="77777777" w:rsidR="00764A27" w:rsidRPr="002F7060" w:rsidRDefault="00000000">
      <w:pPr>
        <w:pStyle w:val="Heading1"/>
        <w:rPr>
          <w:color w:val="000000" w:themeColor="text1"/>
        </w:rPr>
      </w:pPr>
      <w:r w:rsidRPr="002F7060">
        <w:rPr>
          <w:color w:val="000000" w:themeColor="text1"/>
        </w:rPr>
        <w:t xml:space="preserve">4. </w:t>
      </w:r>
      <w:proofErr w:type="spellStart"/>
      <w:r w:rsidRPr="002F7060">
        <w:rPr>
          <w:color w:val="000000" w:themeColor="text1"/>
        </w:rPr>
        <w:t>Оцена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предлози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унапређење</w:t>
      </w:r>
      <w:proofErr w:type="spellEnd"/>
    </w:p>
    <w:p w14:paraId="51792F0D" w14:textId="77777777" w:rsidR="00764A27" w:rsidRPr="002F7060" w:rsidRDefault="00000000">
      <w:pPr>
        <w:pStyle w:val="Heading2"/>
        <w:rPr>
          <w:color w:val="000000" w:themeColor="text1"/>
        </w:rPr>
      </w:pPr>
      <w:r w:rsidRPr="002F7060">
        <w:rPr>
          <w:color w:val="000000" w:themeColor="text1"/>
        </w:rPr>
        <w:t xml:space="preserve">4.1. </w:t>
      </w:r>
      <w:proofErr w:type="spellStart"/>
      <w:r w:rsidRPr="002F7060">
        <w:rPr>
          <w:color w:val="000000" w:themeColor="text1"/>
        </w:rPr>
        <w:t>Климатске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промене</w:t>
      </w:r>
      <w:proofErr w:type="spellEnd"/>
    </w:p>
    <w:p w14:paraId="310EE87B" w14:textId="77777777" w:rsidR="00764A27" w:rsidRPr="002F7060" w:rsidRDefault="00000000">
      <w:pPr>
        <w:spacing w:after="120" w:line="276" w:lineRule="auto"/>
        <w:jc w:val="both"/>
        <w:rPr>
          <w:color w:val="000000" w:themeColor="text1"/>
        </w:rPr>
      </w:pPr>
      <w:proofErr w:type="spellStart"/>
      <w:r w:rsidRPr="002F7060">
        <w:rPr>
          <w:b/>
          <w:bCs/>
          <w:color w:val="000000" w:themeColor="text1"/>
        </w:rPr>
        <w:t>Оцена</w:t>
      </w:r>
      <w:proofErr w:type="spellEnd"/>
      <w:r w:rsidRPr="002F7060">
        <w:rPr>
          <w:b/>
          <w:bCs/>
          <w:color w:val="000000" w:themeColor="text1"/>
        </w:rPr>
        <w:t xml:space="preserve">. </w:t>
      </w:r>
      <w:r w:rsidRPr="002F7060">
        <w:rPr>
          <w:color w:val="000000" w:themeColor="text1"/>
        </w:rPr>
        <w:t xml:space="preserve">СПУ </w:t>
      </w:r>
      <w:proofErr w:type="spellStart"/>
      <w:r w:rsidRPr="002F7060">
        <w:rPr>
          <w:color w:val="000000" w:themeColor="text1"/>
        </w:rPr>
        <w:t>препознаје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као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рецептор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закључује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пољопривреда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изразито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осетљива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климатске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промене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што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тачно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али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анализа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остаје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нивоу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описа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осетљивости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без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форвард</w:t>
      </w:r>
      <w:proofErr w:type="spellEnd"/>
      <w:r w:rsidRPr="002F7060">
        <w:rPr>
          <w:color w:val="000000" w:themeColor="text1"/>
        </w:rPr>
        <w:t xml:space="preserve">-looking </w:t>
      </w:r>
      <w:proofErr w:type="spellStart"/>
      <w:r w:rsidRPr="002F7060">
        <w:rPr>
          <w:color w:val="000000" w:themeColor="text1"/>
        </w:rPr>
        <w:t>процене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ризика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без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системског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повезивања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митигационим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адаптационим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циљевима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националног</w:t>
      </w:r>
      <w:proofErr w:type="spellEnd"/>
      <w:r w:rsidRPr="002F7060">
        <w:rPr>
          <w:color w:val="000000" w:themeColor="text1"/>
        </w:rPr>
        <w:t xml:space="preserve"> и ЕУ </w:t>
      </w:r>
      <w:proofErr w:type="spellStart"/>
      <w:r w:rsidRPr="002F7060">
        <w:rPr>
          <w:color w:val="000000" w:themeColor="text1"/>
        </w:rPr>
        <w:t>оквира</w:t>
      </w:r>
      <w:proofErr w:type="spellEnd"/>
      <w:r w:rsidRPr="002F7060">
        <w:rPr>
          <w:color w:val="000000" w:themeColor="text1"/>
        </w:rPr>
        <w:t xml:space="preserve">. </w:t>
      </w:r>
      <w:proofErr w:type="spellStart"/>
      <w:r w:rsidRPr="002F7060">
        <w:rPr>
          <w:color w:val="000000" w:themeColor="text1"/>
        </w:rPr>
        <w:t>Двосмерни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приступ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утицај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Стратегије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климу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утицај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Стратегију) </w:t>
      </w:r>
      <w:proofErr w:type="spellStart"/>
      <w:r w:rsidRPr="002F7060">
        <w:rPr>
          <w:color w:val="000000" w:themeColor="text1"/>
        </w:rPr>
        <w:t>није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доследно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спроведен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кроз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алтернативе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значај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утицаја</w:t>
      </w:r>
      <w:proofErr w:type="spellEnd"/>
      <w:r w:rsidRPr="002F7060">
        <w:rPr>
          <w:color w:val="000000" w:themeColor="text1"/>
        </w:rPr>
        <w:t>.</w:t>
      </w:r>
    </w:p>
    <w:p w14:paraId="23F97999" w14:textId="77777777" w:rsidR="00764A27" w:rsidRPr="002F7060" w:rsidRDefault="00000000">
      <w:pPr>
        <w:spacing w:after="120" w:line="276" w:lineRule="auto"/>
        <w:jc w:val="both"/>
        <w:rPr>
          <w:color w:val="000000" w:themeColor="text1"/>
        </w:rPr>
      </w:pPr>
      <w:proofErr w:type="spellStart"/>
      <w:r w:rsidRPr="002F7060">
        <w:rPr>
          <w:b/>
          <w:bCs/>
          <w:color w:val="000000" w:themeColor="text1"/>
        </w:rPr>
        <w:t>Предлози</w:t>
      </w:r>
      <w:proofErr w:type="spellEnd"/>
      <w:r w:rsidRPr="002F7060">
        <w:rPr>
          <w:b/>
          <w:bCs/>
          <w:color w:val="000000" w:themeColor="text1"/>
        </w:rPr>
        <w:t>:</w:t>
      </w:r>
    </w:p>
    <w:p w14:paraId="0A090982" w14:textId="3F94F839" w:rsidR="00764A27" w:rsidRPr="002F7060" w:rsidRDefault="00000000" w:rsidP="00D876C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спровести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процену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рањивости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климатског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ризика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према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приступу</w:t>
      </w:r>
      <w:proofErr w:type="spellEnd"/>
      <w:r w:rsidRPr="002F7060">
        <w:rPr>
          <w:color w:val="000000" w:themeColor="text1"/>
        </w:rPr>
        <w:t xml:space="preserve"> IPCC AR6 и ISO 14091, </w:t>
      </w:r>
      <w:proofErr w:type="spellStart"/>
      <w:r w:rsidRPr="002F7060">
        <w:rPr>
          <w:color w:val="000000" w:themeColor="text1"/>
        </w:rPr>
        <w:t>уз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="00D876C0" w:rsidRPr="002F7060">
        <w:rPr>
          <w:color w:val="000000" w:themeColor="text1"/>
        </w:rPr>
        <w:t>оријент</w:t>
      </w:r>
      <w:r w:rsidR="00D876C0" w:rsidRPr="002F7060">
        <w:rPr>
          <w:color w:val="000000" w:themeColor="text1"/>
        </w:rPr>
        <w:t>a</w:t>
      </w:r>
      <w:proofErr w:type="spellEnd"/>
      <w:proofErr w:type="gramStart"/>
      <w:r w:rsidR="00D876C0" w:rsidRPr="002F7060">
        <w:rPr>
          <w:color w:val="000000" w:themeColor="text1"/>
          <w:lang w:val="sr-Cyrl-RS"/>
        </w:rPr>
        <w:t xml:space="preserve">цију </w:t>
      </w:r>
      <w:r w:rsidR="00D876C0" w:rsidRPr="002F7060">
        <w:rPr>
          <w:color w:val="000000" w:themeColor="text1"/>
        </w:rPr>
        <w:t xml:space="preserve"> </w:t>
      </w:r>
      <w:proofErr w:type="spellStart"/>
      <w:r w:rsidR="00D876C0" w:rsidRPr="002F7060">
        <w:rPr>
          <w:color w:val="000000" w:themeColor="text1"/>
        </w:rPr>
        <w:t>ка</w:t>
      </w:r>
      <w:proofErr w:type="spellEnd"/>
      <w:proofErr w:type="gramEnd"/>
      <w:r w:rsidR="00D876C0" w:rsidRPr="002F7060">
        <w:rPr>
          <w:color w:val="000000" w:themeColor="text1"/>
        </w:rPr>
        <w:t xml:space="preserve"> </w:t>
      </w:r>
      <w:proofErr w:type="spellStart"/>
      <w:proofErr w:type="gramStart"/>
      <w:r w:rsidR="00D876C0" w:rsidRPr="002F7060">
        <w:rPr>
          <w:color w:val="000000" w:themeColor="text1"/>
        </w:rPr>
        <w:t>будућности</w:t>
      </w:r>
      <w:proofErr w:type="spellEnd"/>
      <w:r w:rsidR="00D876C0" w:rsidRPr="002F7060">
        <w:rPr>
          <w:color w:val="000000" w:themeColor="text1"/>
        </w:rPr>
        <w:t xml:space="preserve"> </w:t>
      </w:r>
      <w:r w:rsidR="00D876C0" w:rsidRPr="002F7060">
        <w:rPr>
          <w:color w:val="000000" w:themeColor="text1"/>
          <w:lang w:val="sr-Cyrl-RS"/>
        </w:rPr>
        <w:t xml:space="preserve"> и</w:t>
      </w:r>
      <w:proofErr w:type="gramEnd"/>
      <w:r w:rsidR="00D876C0" w:rsidRPr="002F7060">
        <w:rPr>
          <w:color w:val="000000" w:themeColor="text1"/>
          <w:lang w:val="sr-Cyrl-RS"/>
        </w:rPr>
        <w:t xml:space="preserve"> </w:t>
      </w:r>
      <w:proofErr w:type="spellStart"/>
      <w:r w:rsidRPr="002F7060">
        <w:rPr>
          <w:color w:val="000000" w:themeColor="text1"/>
        </w:rPr>
        <w:t>климатске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proofErr w:type="gramStart"/>
      <w:r w:rsidRPr="002F7060">
        <w:rPr>
          <w:color w:val="000000" w:themeColor="text1"/>
        </w:rPr>
        <w:t>пројекције</w:t>
      </w:r>
      <w:proofErr w:type="spellEnd"/>
      <w:r w:rsidR="00D876C0" w:rsidRPr="002F7060">
        <w:rPr>
          <w:color w:val="000000" w:themeColor="text1"/>
          <w:lang w:val="sr-Cyrl-RS"/>
        </w:rPr>
        <w:t xml:space="preserve"> </w:t>
      </w:r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уместо</w:t>
      </w:r>
      <w:proofErr w:type="spellEnd"/>
      <w:proofErr w:type="gram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ослонца</w:t>
      </w:r>
      <w:proofErr w:type="spellEnd"/>
      <w:r w:rsidRPr="002F7060">
        <w:rPr>
          <w:color w:val="000000" w:themeColor="text1"/>
        </w:rPr>
        <w:t xml:space="preserve"> </w:t>
      </w:r>
    </w:p>
    <w:p w14:paraId="17BE69D1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доследно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применити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двосмерну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логику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адаптација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митигација</w:t>
      </w:r>
      <w:proofErr w:type="spellEnd"/>
      <w:r w:rsidRPr="002F7060">
        <w:rPr>
          <w:color w:val="000000" w:themeColor="text1"/>
        </w:rPr>
        <w:t xml:space="preserve">) </w:t>
      </w:r>
      <w:proofErr w:type="spellStart"/>
      <w:r w:rsidRPr="002F7060">
        <w:rPr>
          <w:color w:val="000000" w:themeColor="text1"/>
        </w:rPr>
        <w:t>кроз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анализу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алтернатива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уз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изричито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позивање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Техничке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смернице</w:t>
      </w:r>
      <w:proofErr w:type="spellEnd"/>
      <w:r w:rsidRPr="002F7060">
        <w:rPr>
          <w:color w:val="000000" w:themeColor="text1"/>
        </w:rPr>
        <w:t xml:space="preserve"> ЕК 2021/C 373/01;</w:t>
      </w:r>
    </w:p>
    <w:p w14:paraId="7EEE2321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квантификовати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правац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дејства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мера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односу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секторски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циљ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смањења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емисија</w:t>
      </w:r>
      <w:proofErr w:type="spellEnd"/>
      <w:r w:rsidRPr="002F7060">
        <w:rPr>
          <w:color w:val="000000" w:themeColor="text1"/>
        </w:rPr>
        <w:t xml:space="preserve"> ГХГ </w:t>
      </w:r>
      <w:proofErr w:type="spellStart"/>
      <w:r w:rsidRPr="002F7060">
        <w:rPr>
          <w:color w:val="000000" w:themeColor="text1"/>
        </w:rPr>
        <w:t>из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пољопривреде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смањење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27,4% </w:t>
      </w:r>
      <w:proofErr w:type="spellStart"/>
      <w:r w:rsidRPr="002F7060">
        <w:rPr>
          <w:color w:val="000000" w:themeColor="text1"/>
        </w:rPr>
        <w:t>до</w:t>
      </w:r>
      <w:proofErr w:type="spellEnd"/>
      <w:r w:rsidRPr="002F7060">
        <w:rPr>
          <w:color w:val="000000" w:themeColor="text1"/>
        </w:rPr>
        <w:t xml:space="preserve"> 2030),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посебним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освртом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N₂O </w:t>
      </w:r>
      <w:proofErr w:type="spellStart"/>
      <w:r w:rsidRPr="002F7060">
        <w:rPr>
          <w:color w:val="000000" w:themeColor="text1"/>
        </w:rPr>
        <w:t>из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минералних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органских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ђубрива</w:t>
      </w:r>
      <w:proofErr w:type="spellEnd"/>
      <w:r w:rsidRPr="002F7060">
        <w:rPr>
          <w:color w:val="000000" w:themeColor="text1"/>
        </w:rPr>
        <w:t xml:space="preserve">, CH₄ </w:t>
      </w:r>
      <w:proofErr w:type="spellStart"/>
      <w:r w:rsidRPr="002F7060">
        <w:rPr>
          <w:color w:val="000000" w:themeColor="text1"/>
        </w:rPr>
        <w:t>из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сточарства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управљања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стајњаком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енергетску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потрошњу</w:t>
      </w:r>
      <w:proofErr w:type="spellEnd"/>
      <w:r w:rsidRPr="002F7060">
        <w:rPr>
          <w:color w:val="000000" w:themeColor="text1"/>
        </w:rPr>
        <w:t>;</w:t>
      </w:r>
    </w:p>
    <w:p w14:paraId="10C6AFA3" w14:textId="51F54C7D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увести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сценарија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климатска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социо-економска</w:t>
      </w:r>
      <w:proofErr w:type="spellEnd"/>
      <w:r w:rsidRPr="002F7060">
        <w:rPr>
          <w:color w:val="000000" w:themeColor="text1"/>
        </w:rPr>
        <w:t xml:space="preserve">) и </w:t>
      </w:r>
      <w:proofErr w:type="spellStart"/>
      <w:r w:rsidRPr="002F7060">
        <w:rPr>
          <w:color w:val="000000" w:themeColor="text1"/>
        </w:rPr>
        <w:t>приступ</w:t>
      </w:r>
      <w:proofErr w:type="spellEnd"/>
      <w:r w:rsidR="00D876C0" w:rsidRPr="002F7060">
        <w:rPr>
          <w:color w:val="000000" w:themeColor="text1"/>
        </w:rPr>
        <w:t xml:space="preserve"> </w:t>
      </w:r>
      <w:r w:rsidR="00D876C0" w:rsidRPr="002F7060">
        <w:rPr>
          <w:color w:val="000000" w:themeColor="text1"/>
          <w:lang w:val="sr-Cyrl-RS"/>
        </w:rPr>
        <w:t>без обзира на то да ли ће се очекивани ризик и сценарио у потпуности остварити</w:t>
      </w:r>
      <w:r w:rsidRPr="002F7060">
        <w:rPr>
          <w:color w:val="000000" w:themeColor="text1"/>
        </w:rPr>
        <w:t>„no-regret/win-</w:t>
      </w:r>
      <w:proofErr w:type="gramStart"/>
      <w:r w:rsidRPr="002F7060">
        <w:rPr>
          <w:color w:val="000000" w:themeColor="text1"/>
        </w:rPr>
        <w:t xml:space="preserve">win“ </w:t>
      </w:r>
      <w:proofErr w:type="spellStart"/>
      <w:r w:rsidRPr="002F7060">
        <w:rPr>
          <w:color w:val="000000" w:themeColor="text1"/>
        </w:rPr>
        <w:t>за</w:t>
      </w:r>
      <w:proofErr w:type="spellEnd"/>
      <w:proofErr w:type="gram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избор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најотпорнијих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алтернатива</w:t>
      </w:r>
      <w:proofErr w:type="spellEnd"/>
      <w:r w:rsidR="00D876C0" w:rsidRPr="002F7060">
        <w:rPr>
          <w:color w:val="000000" w:themeColor="text1"/>
        </w:rPr>
        <w:t xml:space="preserve"> (</w:t>
      </w:r>
      <w:r w:rsidR="00D876C0" w:rsidRPr="002F7060">
        <w:rPr>
          <w:color w:val="000000" w:themeColor="text1"/>
          <w:lang w:val="sr-Cyrl-RS"/>
        </w:rPr>
        <w:t>пошумљавање, повећање енергетске ефикасности, очување водних станишта...</w:t>
      </w:r>
      <w:r w:rsidR="00D876C0" w:rsidRPr="002F7060">
        <w:rPr>
          <w:color w:val="000000" w:themeColor="text1"/>
        </w:rPr>
        <w:t>)</w:t>
      </w:r>
    </w:p>
    <w:p w14:paraId="02DE4072" w14:textId="77777777" w:rsidR="002F7060" w:rsidRDefault="002F7060" w:rsidP="002F7060">
      <w:pPr>
        <w:spacing w:after="80" w:line="276" w:lineRule="auto"/>
        <w:jc w:val="both"/>
        <w:rPr>
          <w:color w:val="000000" w:themeColor="text1"/>
          <w:lang w:val="sr-Cyrl-RS"/>
        </w:rPr>
      </w:pPr>
    </w:p>
    <w:p w14:paraId="683C65FC" w14:textId="77777777" w:rsidR="002F7060" w:rsidRDefault="002F7060" w:rsidP="002F7060">
      <w:pPr>
        <w:spacing w:after="80" w:line="276" w:lineRule="auto"/>
        <w:jc w:val="both"/>
        <w:rPr>
          <w:color w:val="000000" w:themeColor="text1"/>
          <w:lang w:val="sr-Cyrl-RS"/>
        </w:rPr>
      </w:pPr>
    </w:p>
    <w:p w14:paraId="49D4519C" w14:textId="77777777" w:rsidR="002F7060" w:rsidRDefault="002F7060" w:rsidP="002F7060">
      <w:pPr>
        <w:spacing w:after="80" w:line="276" w:lineRule="auto"/>
        <w:jc w:val="both"/>
        <w:rPr>
          <w:color w:val="000000" w:themeColor="text1"/>
          <w:lang w:val="sr-Cyrl-RS"/>
        </w:rPr>
      </w:pPr>
    </w:p>
    <w:p w14:paraId="7E661E42" w14:textId="77777777" w:rsidR="002F7060" w:rsidRPr="002F7060" w:rsidRDefault="002F7060" w:rsidP="002F7060">
      <w:pPr>
        <w:spacing w:after="80" w:line="276" w:lineRule="auto"/>
        <w:jc w:val="both"/>
        <w:rPr>
          <w:color w:val="000000" w:themeColor="text1"/>
          <w:lang w:val="sr-Cyrl-RS"/>
        </w:rPr>
      </w:pPr>
    </w:p>
    <w:p w14:paraId="314CC36D" w14:textId="77777777" w:rsidR="00764A27" w:rsidRPr="002F7060" w:rsidRDefault="00000000">
      <w:pPr>
        <w:pStyle w:val="Heading2"/>
        <w:rPr>
          <w:color w:val="000000" w:themeColor="text1"/>
        </w:rPr>
      </w:pPr>
      <w:r w:rsidRPr="002F7060">
        <w:rPr>
          <w:color w:val="000000" w:themeColor="text1"/>
        </w:rPr>
        <w:lastRenderedPageBreak/>
        <w:t xml:space="preserve">4.2. </w:t>
      </w:r>
      <w:proofErr w:type="spellStart"/>
      <w:r w:rsidRPr="002F7060">
        <w:rPr>
          <w:color w:val="000000" w:themeColor="text1"/>
        </w:rPr>
        <w:t>Решења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заснована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природи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>)</w:t>
      </w:r>
    </w:p>
    <w:p w14:paraId="68F203D0" w14:textId="77777777" w:rsidR="00764A27" w:rsidRPr="002F7060" w:rsidRDefault="00000000">
      <w:pPr>
        <w:spacing w:after="120" w:line="276" w:lineRule="auto"/>
        <w:jc w:val="both"/>
        <w:rPr>
          <w:color w:val="000000" w:themeColor="text1"/>
        </w:rPr>
      </w:pPr>
      <w:proofErr w:type="spellStart"/>
      <w:r w:rsidRPr="002F7060">
        <w:rPr>
          <w:b/>
          <w:bCs/>
          <w:color w:val="000000" w:themeColor="text1"/>
        </w:rPr>
        <w:t>Оцена</w:t>
      </w:r>
      <w:proofErr w:type="spellEnd"/>
      <w:r w:rsidRPr="002F7060">
        <w:rPr>
          <w:b/>
          <w:bCs/>
          <w:color w:val="000000" w:themeColor="text1"/>
        </w:rPr>
        <w:t xml:space="preserve">.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у СПУ </w:t>
      </w:r>
      <w:proofErr w:type="spellStart"/>
      <w:r w:rsidRPr="002F7060">
        <w:rPr>
          <w:color w:val="000000" w:themeColor="text1"/>
        </w:rPr>
        <w:t>није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третиран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као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структурни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концепт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већ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појављује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посредно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екосистемске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услуге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предеона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разноврсност</w:t>
      </w:r>
      <w:proofErr w:type="spellEnd"/>
      <w:r w:rsidRPr="002F7060">
        <w:rPr>
          <w:color w:val="000000" w:themeColor="text1"/>
        </w:rPr>
        <w:t xml:space="preserve">). </w:t>
      </w:r>
      <w:proofErr w:type="spellStart"/>
      <w:r w:rsidRPr="002F7060">
        <w:rPr>
          <w:color w:val="000000" w:themeColor="text1"/>
        </w:rPr>
        <w:t>Тиме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пропуштена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прилика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искористи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као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дефинисање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исплативих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вишеструко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корисних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алтернатива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мера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ублажавања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упркос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томе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што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национална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Зелена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агенда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садржи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разрађене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мере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>.</w:t>
      </w:r>
    </w:p>
    <w:p w14:paraId="27892CE3" w14:textId="77777777" w:rsidR="00764A27" w:rsidRPr="002F7060" w:rsidRDefault="00000000">
      <w:pPr>
        <w:spacing w:after="120" w:line="276" w:lineRule="auto"/>
        <w:jc w:val="both"/>
        <w:rPr>
          <w:color w:val="000000" w:themeColor="text1"/>
        </w:rPr>
      </w:pPr>
      <w:proofErr w:type="spellStart"/>
      <w:r w:rsidRPr="002F7060">
        <w:rPr>
          <w:b/>
          <w:bCs/>
          <w:color w:val="000000" w:themeColor="text1"/>
        </w:rPr>
        <w:t>Предлози</w:t>
      </w:r>
      <w:proofErr w:type="spellEnd"/>
      <w:r w:rsidRPr="002F7060">
        <w:rPr>
          <w:b/>
          <w:bCs/>
          <w:color w:val="000000" w:themeColor="text1"/>
        </w:rPr>
        <w:t>:</w:t>
      </w:r>
    </w:p>
    <w:p w14:paraId="548BD0A3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експлицитно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увести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као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сквозни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разматрање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алтернатива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мера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ублажавања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нпр</w:t>
      </w:r>
      <w:proofErr w:type="spellEnd"/>
      <w:r w:rsidRPr="002F7060">
        <w:rPr>
          <w:color w:val="000000" w:themeColor="text1"/>
        </w:rPr>
        <w:t xml:space="preserve">. </w:t>
      </w:r>
      <w:proofErr w:type="spellStart"/>
      <w:r w:rsidRPr="002F7060">
        <w:rPr>
          <w:color w:val="000000" w:themeColor="text1"/>
        </w:rPr>
        <w:t>обнова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плавних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подручја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влажних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станишта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као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алтернатива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тврдој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инфраструктури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управљање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поплавама</w:t>
      </w:r>
      <w:proofErr w:type="spellEnd"/>
      <w:r w:rsidRPr="002F7060">
        <w:rPr>
          <w:color w:val="000000" w:themeColor="text1"/>
        </w:rPr>
        <w:t xml:space="preserve">; </w:t>
      </w:r>
      <w:proofErr w:type="spellStart"/>
      <w:r w:rsidRPr="002F7060">
        <w:rPr>
          <w:color w:val="000000" w:themeColor="text1"/>
        </w:rPr>
        <w:t>агрошумарство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пољозаштитни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појасеви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против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ерозије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секвестрацију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угљеника</w:t>
      </w:r>
      <w:proofErr w:type="spellEnd"/>
      <w:r w:rsidRPr="002F7060">
        <w:rPr>
          <w:color w:val="000000" w:themeColor="text1"/>
        </w:rPr>
        <w:t xml:space="preserve">; </w:t>
      </w:r>
      <w:proofErr w:type="spellStart"/>
      <w:r w:rsidRPr="002F7060">
        <w:rPr>
          <w:color w:val="000000" w:themeColor="text1"/>
        </w:rPr>
        <w:t>зелена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инфраструктура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руралним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насељима</w:t>
      </w:r>
      <w:proofErr w:type="spellEnd"/>
      <w:r w:rsidRPr="002F7060">
        <w:rPr>
          <w:color w:val="000000" w:themeColor="text1"/>
        </w:rPr>
        <w:t>);</w:t>
      </w:r>
    </w:p>
    <w:p w14:paraId="12CFE4B2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повезати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анализу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конкретним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мерама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националне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Зелене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агенде</w:t>
      </w:r>
      <w:proofErr w:type="spellEnd"/>
      <w:r w:rsidRPr="002F7060">
        <w:rPr>
          <w:color w:val="000000" w:themeColor="text1"/>
        </w:rPr>
        <w:t xml:space="preserve">: </w:t>
      </w:r>
      <w:proofErr w:type="spellStart"/>
      <w:r w:rsidRPr="002F7060">
        <w:rPr>
          <w:color w:val="000000" w:themeColor="text1"/>
        </w:rPr>
        <w:t>Мером</w:t>
      </w:r>
      <w:proofErr w:type="spellEnd"/>
      <w:r w:rsidRPr="002F7060">
        <w:rPr>
          <w:color w:val="000000" w:themeColor="text1"/>
        </w:rPr>
        <w:t xml:space="preserve"> 1.1.11 (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великих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малих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размера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шумарству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управљању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мочварним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подручјима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поплавама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пољопривреди</w:t>
      </w:r>
      <w:proofErr w:type="spellEnd"/>
      <w:r w:rsidRPr="002F7060">
        <w:rPr>
          <w:color w:val="000000" w:themeColor="text1"/>
        </w:rPr>
        <w:t xml:space="preserve">), </w:t>
      </w:r>
      <w:proofErr w:type="spellStart"/>
      <w:r w:rsidRPr="002F7060">
        <w:rPr>
          <w:color w:val="000000" w:themeColor="text1"/>
        </w:rPr>
        <w:t>Мером</w:t>
      </w:r>
      <w:proofErr w:type="spellEnd"/>
      <w:r w:rsidRPr="002F7060">
        <w:rPr>
          <w:color w:val="000000" w:themeColor="text1"/>
        </w:rPr>
        <w:t xml:space="preserve"> 1.2.4 (</w:t>
      </w:r>
      <w:proofErr w:type="spellStart"/>
      <w:r w:rsidRPr="002F7060">
        <w:rPr>
          <w:color w:val="000000" w:themeColor="text1"/>
        </w:rPr>
        <w:t>зелена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инфраструктура</w:t>
      </w:r>
      <w:proofErr w:type="spellEnd"/>
      <w:r w:rsidRPr="002F7060">
        <w:rPr>
          <w:color w:val="000000" w:themeColor="text1"/>
        </w:rPr>
        <w:t xml:space="preserve">) и </w:t>
      </w:r>
      <w:proofErr w:type="spellStart"/>
      <w:r w:rsidRPr="002F7060">
        <w:rPr>
          <w:color w:val="000000" w:themeColor="text1"/>
        </w:rPr>
        <w:t>Мером</w:t>
      </w:r>
      <w:proofErr w:type="spellEnd"/>
      <w:r w:rsidRPr="002F7060">
        <w:rPr>
          <w:color w:val="000000" w:themeColor="text1"/>
        </w:rPr>
        <w:t xml:space="preserve"> 4.1.6 (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биодиверзитет</w:t>
      </w:r>
      <w:proofErr w:type="spellEnd"/>
      <w:r w:rsidRPr="002F7060">
        <w:rPr>
          <w:color w:val="000000" w:themeColor="text1"/>
        </w:rPr>
        <w:t xml:space="preserve">), </w:t>
      </w:r>
      <w:proofErr w:type="spellStart"/>
      <w:r w:rsidRPr="002F7060">
        <w:rPr>
          <w:color w:val="000000" w:themeColor="text1"/>
        </w:rPr>
        <w:t>те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применити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међународне</w:t>
      </w:r>
      <w:proofErr w:type="spellEnd"/>
      <w:r w:rsidRPr="002F7060">
        <w:rPr>
          <w:color w:val="000000" w:themeColor="text1"/>
        </w:rPr>
        <w:t xml:space="preserve"> и ЕУ </w:t>
      </w:r>
      <w:proofErr w:type="spellStart"/>
      <w:r w:rsidRPr="002F7060">
        <w:rPr>
          <w:color w:val="000000" w:themeColor="text1"/>
        </w:rPr>
        <w:t>алате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за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процену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потенцијала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трошкова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користи</w:t>
      </w:r>
      <w:proofErr w:type="spellEnd"/>
      <w:r w:rsidRPr="002F7060">
        <w:rPr>
          <w:color w:val="000000" w:themeColor="text1"/>
        </w:rPr>
        <w:t>;</w:t>
      </w:r>
    </w:p>
    <w:p w14:paraId="4C852E38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препознати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као</w:t>
      </w:r>
      <w:proofErr w:type="spellEnd"/>
      <w:r w:rsidRPr="002F7060">
        <w:rPr>
          <w:color w:val="000000" w:themeColor="text1"/>
        </w:rPr>
        <w:t xml:space="preserve"> win-win </w:t>
      </w:r>
      <w:proofErr w:type="spellStart"/>
      <w:r w:rsidRPr="002F7060">
        <w:rPr>
          <w:color w:val="000000" w:themeColor="text1"/>
        </w:rPr>
        <w:t>меру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која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истовремено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доприноси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адаптацији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митигацији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очувању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биодиверзитета</w:t>
      </w:r>
      <w:proofErr w:type="spellEnd"/>
      <w:r w:rsidRPr="002F7060">
        <w:rPr>
          <w:color w:val="000000" w:themeColor="text1"/>
        </w:rPr>
        <w:t xml:space="preserve">, у </w:t>
      </w:r>
      <w:proofErr w:type="spellStart"/>
      <w:r w:rsidRPr="002F7060">
        <w:rPr>
          <w:color w:val="000000" w:themeColor="text1"/>
        </w:rPr>
        <w:t>складу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екосистемским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приступом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упутства</w:t>
      </w:r>
      <w:proofErr w:type="spellEnd"/>
      <w:r w:rsidRPr="002F7060">
        <w:rPr>
          <w:color w:val="000000" w:themeColor="text1"/>
        </w:rPr>
        <w:t xml:space="preserve"> ЕУ.</w:t>
      </w:r>
    </w:p>
    <w:p w14:paraId="2C4B04F8" w14:textId="77777777" w:rsidR="00764A27" w:rsidRPr="002F7060" w:rsidRDefault="00000000">
      <w:pPr>
        <w:pStyle w:val="Heading2"/>
        <w:rPr>
          <w:color w:val="000000" w:themeColor="text1"/>
        </w:rPr>
      </w:pPr>
      <w:r w:rsidRPr="002F7060">
        <w:rPr>
          <w:color w:val="000000" w:themeColor="text1"/>
        </w:rPr>
        <w:t xml:space="preserve">4.3. </w:t>
      </w:r>
      <w:proofErr w:type="spellStart"/>
      <w:r w:rsidRPr="002F7060">
        <w:rPr>
          <w:color w:val="000000" w:themeColor="text1"/>
        </w:rPr>
        <w:t>Методолошко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унапређење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поступка</w:t>
      </w:r>
      <w:proofErr w:type="spellEnd"/>
      <w:r w:rsidRPr="002F7060">
        <w:rPr>
          <w:color w:val="000000" w:themeColor="text1"/>
        </w:rPr>
        <w:t xml:space="preserve"> СПУ</w:t>
      </w:r>
    </w:p>
    <w:p w14:paraId="550A63C7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ускладити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методологију</w:t>
      </w:r>
      <w:proofErr w:type="spellEnd"/>
      <w:r w:rsidRPr="002F7060">
        <w:rPr>
          <w:color w:val="000000" w:themeColor="text1"/>
        </w:rPr>
        <w:t xml:space="preserve"> СПУ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актуелним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оквиром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упутство</w:t>
      </w:r>
      <w:proofErr w:type="spellEnd"/>
      <w:r w:rsidRPr="002F7060">
        <w:rPr>
          <w:color w:val="000000" w:themeColor="text1"/>
        </w:rPr>
        <w:t xml:space="preserve"> 2013. </w:t>
      </w:r>
      <w:proofErr w:type="spellStart"/>
      <w:r w:rsidRPr="002F7060">
        <w:rPr>
          <w:color w:val="000000" w:themeColor="text1"/>
        </w:rPr>
        <w:t>као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основа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допуњено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смерницама</w:t>
      </w:r>
      <w:proofErr w:type="spellEnd"/>
      <w:r w:rsidRPr="002F7060">
        <w:rPr>
          <w:color w:val="000000" w:themeColor="text1"/>
        </w:rPr>
        <w:t xml:space="preserve"> 2021/C 373/01 и </w:t>
      </w:r>
      <w:proofErr w:type="spellStart"/>
      <w:r w:rsidRPr="002F7060">
        <w:rPr>
          <w:color w:val="000000" w:themeColor="text1"/>
        </w:rPr>
        <w:t>приступом</w:t>
      </w:r>
      <w:proofErr w:type="spellEnd"/>
      <w:r w:rsidRPr="002F7060">
        <w:rPr>
          <w:color w:val="000000" w:themeColor="text1"/>
        </w:rPr>
        <w:t xml:space="preserve"> EUCRA/IPCC AR6);</w:t>
      </w:r>
    </w:p>
    <w:p w14:paraId="0AA2A04A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заменити</w:t>
      </w:r>
      <w:proofErr w:type="spellEnd"/>
      <w:r w:rsidRPr="002F7060">
        <w:rPr>
          <w:color w:val="000000" w:themeColor="text1"/>
        </w:rPr>
        <w:t xml:space="preserve"> „</w:t>
      </w:r>
      <w:proofErr w:type="spellStart"/>
      <w:r w:rsidRPr="002F7060">
        <w:rPr>
          <w:color w:val="000000" w:themeColor="text1"/>
        </w:rPr>
        <w:t>снимак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proofErr w:type="gramStart"/>
      <w:r w:rsidRPr="002F7060">
        <w:rPr>
          <w:color w:val="000000" w:themeColor="text1"/>
        </w:rPr>
        <w:t>стања</w:t>
      </w:r>
      <w:proofErr w:type="spellEnd"/>
      <w:r w:rsidRPr="002F7060">
        <w:rPr>
          <w:color w:val="000000" w:themeColor="text1"/>
        </w:rPr>
        <w:t xml:space="preserve">“ </w:t>
      </w:r>
      <w:proofErr w:type="spellStart"/>
      <w:r w:rsidRPr="002F7060">
        <w:rPr>
          <w:color w:val="000000" w:themeColor="text1"/>
        </w:rPr>
        <w:t>анализом</w:t>
      </w:r>
      <w:proofErr w:type="spellEnd"/>
      <w:proofErr w:type="gram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еволуирајуће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основе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без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спровођења</w:t>
      </w:r>
      <w:proofErr w:type="spellEnd"/>
      <w:r w:rsidRPr="002F7060">
        <w:rPr>
          <w:color w:val="000000" w:themeColor="text1"/>
        </w:rPr>
        <w:t xml:space="preserve"> Стратегије;</w:t>
      </w:r>
    </w:p>
    <w:p w14:paraId="1BEBE5F1" w14:textId="77777777" w:rsidR="00764A27" w:rsidRPr="002F7060" w:rsidRDefault="00000000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color w:val="000000" w:themeColor="text1"/>
        </w:rPr>
      </w:pPr>
      <w:proofErr w:type="spellStart"/>
      <w:r w:rsidRPr="002F7060">
        <w:rPr>
          <w:color w:val="000000" w:themeColor="text1"/>
        </w:rPr>
        <w:t>осавременити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систем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праћења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климатским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индикаторима</w:t>
      </w:r>
      <w:proofErr w:type="spellEnd"/>
      <w:r w:rsidRPr="002F7060">
        <w:rPr>
          <w:color w:val="000000" w:themeColor="text1"/>
        </w:rPr>
        <w:t xml:space="preserve"> (</w:t>
      </w:r>
      <w:proofErr w:type="spellStart"/>
      <w:r w:rsidRPr="002F7060">
        <w:rPr>
          <w:color w:val="000000" w:themeColor="text1"/>
        </w:rPr>
        <w:t>емисије</w:t>
      </w:r>
      <w:proofErr w:type="spellEnd"/>
      <w:r w:rsidRPr="002F7060">
        <w:rPr>
          <w:color w:val="000000" w:themeColor="text1"/>
        </w:rPr>
        <w:t xml:space="preserve"> ГХГ/N₂O/CH₄ </w:t>
      </w:r>
      <w:proofErr w:type="spellStart"/>
      <w:r w:rsidRPr="002F7060">
        <w:rPr>
          <w:color w:val="000000" w:themeColor="text1"/>
        </w:rPr>
        <w:t>из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сектора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садржај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органске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материје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земљишту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површине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под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мерама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прилагођавања</w:t>
      </w:r>
      <w:proofErr w:type="spellEnd"/>
      <w:r w:rsidRPr="002F7060">
        <w:rPr>
          <w:color w:val="000000" w:themeColor="text1"/>
        </w:rPr>
        <w:t xml:space="preserve"> и </w:t>
      </w:r>
      <w:proofErr w:type="spellStart"/>
      <w:r w:rsidRPr="002F7060">
        <w:rPr>
          <w:color w:val="000000" w:themeColor="text1"/>
        </w:rPr>
        <w:t>под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NbS</w:t>
      </w:r>
      <w:proofErr w:type="spellEnd"/>
      <w:r w:rsidRPr="002F7060">
        <w:rPr>
          <w:color w:val="000000" w:themeColor="text1"/>
        </w:rPr>
        <w:t>/</w:t>
      </w:r>
      <w:proofErr w:type="spellStart"/>
      <w:r w:rsidRPr="002F7060">
        <w:rPr>
          <w:color w:val="000000" w:themeColor="text1"/>
        </w:rPr>
        <w:t>агроеколошким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мерама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површине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под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наводњавањем</w:t>
      </w:r>
      <w:proofErr w:type="spellEnd"/>
      <w:r w:rsidRPr="002F7060">
        <w:rPr>
          <w:color w:val="000000" w:themeColor="text1"/>
        </w:rPr>
        <w:t xml:space="preserve">, </w:t>
      </w:r>
      <w:proofErr w:type="spellStart"/>
      <w:r w:rsidRPr="002F7060">
        <w:rPr>
          <w:color w:val="000000" w:themeColor="text1"/>
        </w:rPr>
        <w:t>површине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под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обновљеним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стаништима</w:t>
      </w:r>
      <w:proofErr w:type="spellEnd"/>
      <w:r w:rsidRPr="002F7060">
        <w:rPr>
          <w:color w:val="000000" w:themeColor="text1"/>
        </w:rPr>
        <w:t xml:space="preserve">) и </w:t>
      </w:r>
      <w:proofErr w:type="spellStart"/>
      <w:r w:rsidRPr="002F7060">
        <w:rPr>
          <w:color w:val="000000" w:themeColor="text1"/>
        </w:rPr>
        <w:t>интегрисати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их</w:t>
      </w:r>
      <w:proofErr w:type="spellEnd"/>
      <w:r w:rsidRPr="002F7060">
        <w:rPr>
          <w:color w:val="000000" w:themeColor="text1"/>
        </w:rPr>
        <w:t xml:space="preserve"> у </w:t>
      </w:r>
      <w:proofErr w:type="spellStart"/>
      <w:r w:rsidRPr="002F7060">
        <w:rPr>
          <w:color w:val="000000" w:themeColor="text1"/>
        </w:rPr>
        <w:t>редовни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циклус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ревизије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Стратегије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ради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прилагодљивог</w:t>
      </w:r>
      <w:proofErr w:type="spellEnd"/>
      <w:r w:rsidRPr="002F7060">
        <w:rPr>
          <w:color w:val="000000" w:themeColor="text1"/>
        </w:rPr>
        <w:t xml:space="preserve"> </w:t>
      </w:r>
      <w:proofErr w:type="spellStart"/>
      <w:r w:rsidRPr="002F7060">
        <w:rPr>
          <w:color w:val="000000" w:themeColor="text1"/>
        </w:rPr>
        <w:t>управљања</w:t>
      </w:r>
      <w:proofErr w:type="spellEnd"/>
      <w:r w:rsidRPr="002F7060">
        <w:rPr>
          <w:color w:val="000000" w:themeColor="text1"/>
        </w:rPr>
        <w:t>.</w:t>
      </w:r>
    </w:p>
    <w:p w14:paraId="6B202A77" w14:textId="77777777" w:rsidR="002F7060" w:rsidRPr="002F7060" w:rsidRDefault="002F7060">
      <w:pPr>
        <w:spacing w:after="120" w:line="276" w:lineRule="auto"/>
        <w:jc w:val="both"/>
        <w:rPr>
          <w:b/>
          <w:bCs/>
          <w:color w:val="000000" w:themeColor="text1"/>
        </w:rPr>
      </w:pPr>
    </w:p>
    <w:p w14:paraId="2A7F1390" w14:textId="6DC9A086" w:rsidR="00764A27" w:rsidRPr="002F7060" w:rsidRDefault="00000000">
      <w:pPr>
        <w:spacing w:after="120" w:line="276" w:lineRule="auto"/>
        <w:jc w:val="both"/>
        <w:rPr>
          <w:i/>
          <w:iCs/>
          <w:color w:val="000000" w:themeColor="text1"/>
        </w:rPr>
      </w:pPr>
      <w:proofErr w:type="spellStart"/>
      <w:r w:rsidRPr="002F7060">
        <w:rPr>
          <w:b/>
          <w:bCs/>
          <w:i/>
          <w:iCs/>
          <w:color w:val="000000" w:themeColor="text1"/>
        </w:rPr>
        <w:t>Закључак</w:t>
      </w:r>
      <w:proofErr w:type="spellEnd"/>
      <w:r w:rsidRPr="002F7060">
        <w:rPr>
          <w:b/>
          <w:bCs/>
          <w:i/>
          <w:iCs/>
          <w:color w:val="000000" w:themeColor="text1"/>
        </w:rPr>
        <w:t xml:space="preserve"> UNEKOOP-а: </w:t>
      </w:r>
      <w:r w:rsidRPr="002F7060">
        <w:rPr>
          <w:i/>
          <w:iCs/>
          <w:color w:val="000000" w:themeColor="text1"/>
        </w:rPr>
        <w:t xml:space="preserve">у </w:t>
      </w:r>
      <w:proofErr w:type="spellStart"/>
      <w:r w:rsidRPr="002F7060">
        <w:rPr>
          <w:i/>
          <w:iCs/>
          <w:color w:val="000000" w:themeColor="text1"/>
        </w:rPr>
        <w:t>деловима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који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се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односе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на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климатске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промене</w:t>
      </w:r>
      <w:proofErr w:type="spellEnd"/>
      <w:r w:rsidRPr="002F7060">
        <w:rPr>
          <w:i/>
          <w:iCs/>
          <w:color w:val="000000" w:themeColor="text1"/>
        </w:rPr>
        <w:t xml:space="preserve"> и </w:t>
      </w:r>
      <w:proofErr w:type="spellStart"/>
      <w:r w:rsidRPr="002F7060">
        <w:rPr>
          <w:i/>
          <w:iCs/>
          <w:color w:val="000000" w:themeColor="text1"/>
        </w:rPr>
        <w:t>Решења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заснована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на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природи</w:t>
      </w:r>
      <w:proofErr w:type="spellEnd"/>
      <w:r w:rsidRPr="002F7060">
        <w:rPr>
          <w:i/>
          <w:iCs/>
          <w:color w:val="000000" w:themeColor="text1"/>
        </w:rPr>
        <w:t xml:space="preserve">, СПУ </w:t>
      </w:r>
      <w:proofErr w:type="spellStart"/>
      <w:r w:rsidRPr="002F7060">
        <w:rPr>
          <w:i/>
          <w:iCs/>
          <w:color w:val="000000" w:themeColor="text1"/>
        </w:rPr>
        <w:t>захтева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суштинску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дораду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како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би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одразила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актуелни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међународни</w:t>
      </w:r>
      <w:proofErr w:type="spellEnd"/>
      <w:r w:rsidRPr="002F7060">
        <w:rPr>
          <w:i/>
          <w:iCs/>
          <w:color w:val="000000" w:themeColor="text1"/>
        </w:rPr>
        <w:t xml:space="preserve"> и </w:t>
      </w:r>
      <w:proofErr w:type="spellStart"/>
      <w:r w:rsidRPr="002F7060">
        <w:rPr>
          <w:i/>
          <w:iCs/>
          <w:color w:val="000000" w:themeColor="text1"/>
        </w:rPr>
        <w:t>национални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оквир</w:t>
      </w:r>
      <w:proofErr w:type="spellEnd"/>
      <w:r w:rsidRPr="002F7060">
        <w:rPr>
          <w:i/>
          <w:iCs/>
          <w:color w:val="000000" w:themeColor="text1"/>
        </w:rPr>
        <w:t xml:space="preserve"> и </w:t>
      </w:r>
      <w:proofErr w:type="spellStart"/>
      <w:r w:rsidRPr="002F7060">
        <w:rPr>
          <w:i/>
          <w:iCs/>
          <w:color w:val="000000" w:themeColor="text1"/>
        </w:rPr>
        <w:t>важеће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методолошке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стандарде</w:t>
      </w:r>
      <w:proofErr w:type="spellEnd"/>
      <w:r w:rsidRPr="002F7060">
        <w:rPr>
          <w:i/>
          <w:iCs/>
          <w:color w:val="000000" w:themeColor="text1"/>
        </w:rPr>
        <w:t xml:space="preserve">. UNEKOOP </w:t>
      </w:r>
      <w:proofErr w:type="spellStart"/>
      <w:r w:rsidRPr="002F7060">
        <w:rPr>
          <w:i/>
          <w:iCs/>
          <w:color w:val="000000" w:themeColor="text1"/>
        </w:rPr>
        <w:t>предлаже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да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се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пре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усвајања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Извештај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допуни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форвард</w:t>
      </w:r>
      <w:proofErr w:type="spellEnd"/>
      <w:r w:rsidRPr="002F7060">
        <w:rPr>
          <w:i/>
          <w:iCs/>
          <w:color w:val="000000" w:themeColor="text1"/>
        </w:rPr>
        <w:t xml:space="preserve">-looking </w:t>
      </w:r>
      <w:proofErr w:type="spellStart"/>
      <w:r w:rsidRPr="002F7060">
        <w:rPr>
          <w:i/>
          <w:iCs/>
          <w:color w:val="000000" w:themeColor="text1"/>
        </w:rPr>
        <w:t>проценом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климатског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ризика</w:t>
      </w:r>
      <w:proofErr w:type="spellEnd"/>
      <w:r w:rsidRPr="002F7060">
        <w:rPr>
          <w:i/>
          <w:iCs/>
          <w:color w:val="000000" w:themeColor="text1"/>
        </w:rPr>
        <w:t xml:space="preserve">, </w:t>
      </w:r>
      <w:proofErr w:type="spellStart"/>
      <w:r w:rsidRPr="002F7060">
        <w:rPr>
          <w:i/>
          <w:iCs/>
          <w:color w:val="000000" w:themeColor="text1"/>
        </w:rPr>
        <w:t>доследном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двосмерном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анализом</w:t>
      </w:r>
      <w:proofErr w:type="spellEnd"/>
      <w:r w:rsidRPr="002F7060">
        <w:rPr>
          <w:i/>
          <w:iCs/>
          <w:color w:val="000000" w:themeColor="text1"/>
        </w:rPr>
        <w:t xml:space="preserve"> и </w:t>
      </w:r>
      <w:proofErr w:type="spellStart"/>
      <w:r w:rsidRPr="002F7060">
        <w:rPr>
          <w:i/>
          <w:iCs/>
          <w:color w:val="000000" w:themeColor="text1"/>
        </w:rPr>
        <w:t>експлицитном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интеграцијом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NbS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као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оквира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за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алтернативе</w:t>
      </w:r>
      <w:proofErr w:type="spellEnd"/>
      <w:r w:rsidRPr="002F7060">
        <w:rPr>
          <w:i/>
          <w:iCs/>
          <w:color w:val="000000" w:themeColor="text1"/>
        </w:rPr>
        <w:t xml:space="preserve">, </w:t>
      </w:r>
      <w:proofErr w:type="spellStart"/>
      <w:r w:rsidRPr="002F7060">
        <w:rPr>
          <w:i/>
          <w:iCs/>
          <w:color w:val="000000" w:themeColor="text1"/>
        </w:rPr>
        <w:t>мере</w:t>
      </w:r>
      <w:proofErr w:type="spellEnd"/>
      <w:r w:rsidRPr="002F7060">
        <w:rPr>
          <w:i/>
          <w:iCs/>
          <w:color w:val="000000" w:themeColor="text1"/>
        </w:rPr>
        <w:t xml:space="preserve"> </w:t>
      </w:r>
      <w:proofErr w:type="spellStart"/>
      <w:r w:rsidRPr="002F7060">
        <w:rPr>
          <w:i/>
          <w:iCs/>
          <w:color w:val="000000" w:themeColor="text1"/>
        </w:rPr>
        <w:t>ублажавања</w:t>
      </w:r>
      <w:proofErr w:type="spellEnd"/>
      <w:r w:rsidRPr="002F7060">
        <w:rPr>
          <w:i/>
          <w:iCs/>
          <w:color w:val="000000" w:themeColor="text1"/>
        </w:rPr>
        <w:t xml:space="preserve"> и </w:t>
      </w:r>
      <w:proofErr w:type="spellStart"/>
      <w:r w:rsidRPr="002F7060">
        <w:rPr>
          <w:i/>
          <w:iCs/>
          <w:color w:val="000000" w:themeColor="text1"/>
        </w:rPr>
        <w:t>праћење</w:t>
      </w:r>
      <w:proofErr w:type="spellEnd"/>
      <w:r w:rsidRPr="002F7060">
        <w:rPr>
          <w:i/>
          <w:iCs/>
          <w:color w:val="000000" w:themeColor="text1"/>
        </w:rPr>
        <w:t>.</w:t>
      </w:r>
    </w:p>
    <w:sectPr w:rsidR="00764A27" w:rsidRPr="002F7060">
      <w:footerReference w:type="default" r:id="rId8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A4D6" w14:textId="77777777" w:rsidR="00785554" w:rsidRDefault="00785554">
      <w:r>
        <w:separator/>
      </w:r>
    </w:p>
  </w:endnote>
  <w:endnote w:type="continuationSeparator" w:id="0">
    <w:p w14:paraId="1EFD4DFA" w14:textId="77777777" w:rsidR="00785554" w:rsidRDefault="0078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800F" w14:textId="77777777" w:rsidR="00764A27" w:rsidRDefault="00000000">
    <w:pPr>
      <w:jc w:val="center"/>
    </w:pPr>
    <w:proofErr w:type="spellStart"/>
    <w:r>
      <w:rPr>
        <w:color w:val="777777"/>
        <w:sz w:val="18"/>
        <w:szCs w:val="18"/>
      </w:rPr>
      <w:t>Страна</w:t>
    </w:r>
    <w:proofErr w:type="spellEnd"/>
    <w:r>
      <w:rPr>
        <w:color w:val="777777"/>
        <w:sz w:val="18"/>
        <w:szCs w:val="18"/>
      </w:rPr>
      <w:t xml:space="preserve"> </w:t>
    </w: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PAGE</w:instrText>
    </w:r>
    <w:r>
      <w:rPr>
        <w:color w:val="777777"/>
        <w:sz w:val="18"/>
        <w:szCs w:val="18"/>
      </w:rPr>
      <w:fldChar w:fldCharType="separate"/>
    </w:r>
    <w:r w:rsidR="00BE3B83">
      <w:rPr>
        <w:noProof/>
        <w:color w:val="777777"/>
        <w:sz w:val="18"/>
        <w:szCs w:val="18"/>
      </w:rPr>
      <w:t>1</w:t>
    </w:r>
    <w:r>
      <w:rPr>
        <w:color w:val="777777"/>
        <w:sz w:val="18"/>
        <w:szCs w:val="18"/>
      </w:rPr>
      <w:fldChar w:fldCharType="end"/>
    </w:r>
    <w:r>
      <w:rPr>
        <w:color w:val="777777"/>
        <w:sz w:val="18"/>
        <w:szCs w:val="18"/>
      </w:rPr>
      <w:t xml:space="preserve"> </w:t>
    </w:r>
    <w:proofErr w:type="spellStart"/>
    <w:r>
      <w:rPr>
        <w:color w:val="777777"/>
        <w:sz w:val="18"/>
        <w:szCs w:val="18"/>
      </w:rPr>
      <w:t>од</w:t>
    </w:r>
    <w:proofErr w:type="spellEnd"/>
    <w:r>
      <w:rPr>
        <w:color w:val="777777"/>
        <w:sz w:val="18"/>
        <w:szCs w:val="18"/>
      </w:rPr>
      <w:t xml:space="preserve"> </w:t>
    </w: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NUMPAGES</w:instrText>
    </w:r>
    <w:r>
      <w:rPr>
        <w:color w:val="777777"/>
        <w:sz w:val="18"/>
        <w:szCs w:val="18"/>
      </w:rPr>
      <w:fldChar w:fldCharType="separate"/>
    </w:r>
    <w:r w:rsidR="00BE3B83">
      <w:rPr>
        <w:noProof/>
        <w:color w:val="777777"/>
        <w:sz w:val="18"/>
        <w:szCs w:val="18"/>
      </w:rPr>
      <w:t>2</w:t>
    </w:r>
    <w:r>
      <w:rPr>
        <w:color w:val="77777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FCE0" w14:textId="77777777" w:rsidR="00785554" w:rsidRDefault="00785554">
      <w:r>
        <w:separator/>
      </w:r>
    </w:p>
  </w:footnote>
  <w:footnote w:type="continuationSeparator" w:id="0">
    <w:p w14:paraId="14508C77" w14:textId="77777777" w:rsidR="00785554" w:rsidRDefault="0078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3BAC"/>
    <w:multiLevelType w:val="hybridMultilevel"/>
    <w:tmpl w:val="0BC4D8A6"/>
    <w:lvl w:ilvl="0" w:tplc="E730B12C">
      <w:start w:val="1"/>
      <w:numFmt w:val="bullet"/>
      <w:lvlText w:val="●"/>
      <w:lvlJc w:val="left"/>
      <w:pPr>
        <w:ind w:left="720" w:hanging="360"/>
      </w:pPr>
    </w:lvl>
    <w:lvl w:ilvl="1" w:tplc="699AC4A0">
      <w:start w:val="1"/>
      <w:numFmt w:val="bullet"/>
      <w:lvlText w:val="○"/>
      <w:lvlJc w:val="left"/>
      <w:pPr>
        <w:ind w:left="1440" w:hanging="360"/>
      </w:pPr>
    </w:lvl>
    <w:lvl w:ilvl="2" w:tplc="BF1C35F4">
      <w:start w:val="1"/>
      <w:numFmt w:val="bullet"/>
      <w:lvlText w:val="■"/>
      <w:lvlJc w:val="left"/>
      <w:pPr>
        <w:ind w:left="2160" w:hanging="360"/>
      </w:pPr>
    </w:lvl>
    <w:lvl w:ilvl="3" w:tplc="6486F9A6">
      <w:start w:val="1"/>
      <w:numFmt w:val="bullet"/>
      <w:lvlText w:val="●"/>
      <w:lvlJc w:val="left"/>
      <w:pPr>
        <w:ind w:left="2880" w:hanging="360"/>
      </w:pPr>
    </w:lvl>
    <w:lvl w:ilvl="4" w:tplc="1D0A4B06">
      <w:start w:val="1"/>
      <w:numFmt w:val="bullet"/>
      <w:lvlText w:val="○"/>
      <w:lvlJc w:val="left"/>
      <w:pPr>
        <w:ind w:left="3600" w:hanging="360"/>
      </w:pPr>
    </w:lvl>
    <w:lvl w:ilvl="5" w:tplc="AC70DE3E">
      <w:start w:val="1"/>
      <w:numFmt w:val="bullet"/>
      <w:lvlText w:val="■"/>
      <w:lvlJc w:val="left"/>
      <w:pPr>
        <w:ind w:left="4320" w:hanging="360"/>
      </w:pPr>
    </w:lvl>
    <w:lvl w:ilvl="6" w:tplc="B568C4EC">
      <w:start w:val="1"/>
      <w:numFmt w:val="bullet"/>
      <w:lvlText w:val="●"/>
      <w:lvlJc w:val="left"/>
      <w:pPr>
        <w:ind w:left="5040" w:hanging="360"/>
      </w:pPr>
    </w:lvl>
    <w:lvl w:ilvl="7" w:tplc="0FB4C39C">
      <w:start w:val="1"/>
      <w:numFmt w:val="bullet"/>
      <w:lvlText w:val="●"/>
      <w:lvlJc w:val="left"/>
      <w:pPr>
        <w:ind w:left="5760" w:hanging="360"/>
      </w:pPr>
    </w:lvl>
    <w:lvl w:ilvl="8" w:tplc="BF3CE66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8054932"/>
    <w:multiLevelType w:val="hybridMultilevel"/>
    <w:tmpl w:val="8FE0F584"/>
    <w:lvl w:ilvl="0" w:tplc="4FE44976">
      <w:start w:val="1"/>
      <w:numFmt w:val="bullet"/>
      <w:lvlText w:val="•"/>
      <w:lvlJc w:val="left"/>
      <w:pPr>
        <w:ind w:left="600" w:hanging="280"/>
      </w:pPr>
    </w:lvl>
    <w:lvl w:ilvl="1" w:tplc="896C949C">
      <w:numFmt w:val="decimal"/>
      <w:lvlText w:val=""/>
      <w:lvlJc w:val="left"/>
    </w:lvl>
    <w:lvl w:ilvl="2" w:tplc="A6B85F10">
      <w:numFmt w:val="decimal"/>
      <w:lvlText w:val=""/>
      <w:lvlJc w:val="left"/>
    </w:lvl>
    <w:lvl w:ilvl="3" w:tplc="68F27E36">
      <w:numFmt w:val="decimal"/>
      <w:lvlText w:val=""/>
      <w:lvlJc w:val="left"/>
    </w:lvl>
    <w:lvl w:ilvl="4" w:tplc="55169100">
      <w:numFmt w:val="decimal"/>
      <w:lvlText w:val=""/>
      <w:lvlJc w:val="left"/>
    </w:lvl>
    <w:lvl w:ilvl="5" w:tplc="33D4C332">
      <w:numFmt w:val="decimal"/>
      <w:lvlText w:val=""/>
      <w:lvlJc w:val="left"/>
    </w:lvl>
    <w:lvl w:ilvl="6" w:tplc="DCE831F8">
      <w:numFmt w:val="decimal"/>
      <w:lvlText w:val=""/>
      <w:lvlJc w:val="left"/>
    </w:lvl>
    <w:lvl w:ilvl="7" w:tplc="5E04430C">
      <w:numFmt w:val="decimal"/>
      <w:lvlText w:val=""/>
      <w:lvlJc w:val="left"/>
    </w:lvl>
    <w:lvl w:ilvl="8" w:tplc="AFC0E700">
      <w:numFmt w:val="decimal"/>
      <w:lvlText w:val=""/>
      <w:lvlJc w:val="left"/>
    </w:lvl>
  </w:abstractNum>
  <w:num w:numId="1" w16cid:durableId="1586644515">
    <w:abstractNumId w:val="0"/>
    <w:lvlOverride w:ilvl="0">
      <w:startOverride w:val="1"/>
    </w:lvlOverride>
  </w:num>
  <w:num w:numId="2" w16cid:durableId="9922181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27"/>
    <w:rsid w:val="00163201"/>
    <w:rsid w:val="002F7060"/>
    <w:rsid w:val="005C5CF9"/>
    <w:rsid w:val="00764A27"/>
    <w:rsid w:val="00785554"/>
    <w:rsid w:val="00BE3B83"/>
    <w:rsid w:val="00D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848C"/>
  <w15:docId w15:val="{7C97573F-8184-40F2-8237-240361ED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40"/>
      <w:outlineLvl w:val="0"/>
    </w:pPr>
    <w:rPr>
      <w:b/>
      <w:bCs/>
      <w:color w:val="1F4E2E"/>
      <w:sz w:val="26"/>
      <w:szCs w:val="26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5E3A"/>
      <w:sz w:val="23"/>
      <w:szCs w:val="23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7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060"/>
  </w:style>
  <w:style w:type="paragraph" w:styleId="Footer">
    <w:name w:val="footer"/>
    <w:basedOn w:val="Normal"/>
    <w:link w:val="FooterChar"/>
    <w:uiPriority w:val="99"/>
    <w:unhideWhenUsed/>
    <w:rsid w:val="002F7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korisnik</cp:lastModifiedBy>
  <cp:revision>2</cp:revision>
  <dcterms:created xsi:type="dcterms:W3CDTF">2026-06-28T20:18:00Z</dcterms:created>
  <dcterms:modified xsi:type="dcterms:W3CDTF">2026-06-28T20:18:00Z</dcterms:modified>
</cp:coreProperties>
</file>