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19822D" w14:textId="52E70C5F" w:rsidR="001E5D8D" w:rsidRDefault="0091604A" w:rsidP="001E5D8D">
      <w:pPr>
        <w:spacing w:after="40"/>
        <w:jc w:val="center"/>
        <w:rPr>
          <w:b/>
          <w:bCs/>
          <w:color w:val="1F6F54"/>
          <w:sz w:val="32"/>
          <w:szCs w:val="32"/>
        </w:rPr>
      </w:pPr>
      <w:r>
        <w:rPr>
          <w:b/>
          <w:bCs/>
          <w:noProof/>
          <w:color w:val="1F6F54"/>
          <w:sz w:val="32"/>
          <w:szCs w:val="32"/>
        </w:rPr>
        <w:drawing>
          <wp:inline distT="0" distB="0" distL="0" distR="0" wp14:anchorId="0614A52B" wp14:editId="1EA24969">
            <wp:extent cx="2426335" cy="902335"/>
            <wp:effectExtent l="0" t="0" r="0" b="0"/>
            <wp:docPr id="168022426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6335" cy="902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7C73ED6" w14:textId="77777777" w:rsidR="001E5D8D" w:rsidRDefault="001E5D8D" w:rsidP="0091604A">
      <w:pPr>
        <w:spacing w:after="40"/>
        <w:rPr>
          <w:b/>
          <w:bCs/>
          <w:color w:val="1F6F54"/>
          <w:sz w:val="32"/>
          <w:szCs w:val="32"/>
        </w:rPr>
      </w:pPr>
    </w:p>
    <w:p w14:paraId="6E5232DB" w14:textId="77777777" w:rsidR="001E5D8D" w:rsidRDefault="001E5D8D" w:rsidP="001E5D8D">
      <w:pPr>
        <w:spacing w:after="40"/>
        <w:jc w:val="center"/>
        <w:rPr>
          <w:b/>
          <w:bCs/>
          <w:color w:val="1F6F54"/>
          <w:sz w:val="32"/>
          <w:szCs w:val="32"/>
        </w:rPr>
      </w:pPr>
    </w:p>
    <w:p w14:paraId="114D9730" w14:textId="11C28417" w:rsidR="00C9376D" w:rsidRPr="0091604A" w:rsidRDefault="00000000" w:rsidP="001E5D8D">
      <w:pPr>
        <w:spacing w:after="40"/>
        <w:jc w:val="center"/>
        <w:rPr>
          <w:sz w:val="36"/>
          <w:szCs w:val="36"/>
        </w:rPr>
      </w:pPr>
      <w:r w:rsidRPr="0091604A">
        <w:rPr>
          <w:b/>
          <w:bCs/>
          <w:color w:val="1F6F54"/>
          <w:sz w:val="36"/>
          <w:szCs w:val="36"/>
        </w:rPr>
        <w:t>KOMENTARI, SUGESTIJE I PREDLOZI AMANDMANA</w:t>
      </w:r>
    </w:p>
    <w:p w14:paraId="3BB2C53C" w14:textId="411508F1" w:rsidR="001E5D8D" w:rsidRPr="0091604A" w:rsidRDefault="001E5D8D" w:rsidP="001E5D8D">
      <w:pPr>
        <w:spacing w:after="40"/>
        <w:jc w:val="center"/>
        <w:rPr>
          <w:b/>
          <w:bCs/>
          <w:sz w:val="36"/>
          <w:szCs w:val="36"/>
        </w:rPr>
      </w:pPr>
    </w:p>
    <w:p w14:paraId="68ADC4C8" w14:textId="4EC376D6" w:rsidR="00C9376D" w:rsidRDefault="00000000" w:rsidP="001E5D8D">
      <w:pPr>
        <w:spacing w:after="40"/>
        <w:jc w:val="center"/>
      </w:pPr>
      <w:r>
        <w:rPr>
          <w:b/>
          <w:bCs/>
          <w:sz w:val="26"/>
          <w:szCs w:val="26"/>
        </w:rPr>
        <w:t xml:space="preserve"> NACRT ZAKONA O KOMASACIJI ZEMLJISTA</w:t>
      </w:r>
    </w:p>
    <w:p w14:paraId="2BFAC543" w14:textId="6EC8BBFE" w:rsidR="00C9376D" w:rsidRPr="0091604A" w:rsidRDefault="00000000" w:rsidP="0091604A">
      <w:pPr>
        <w:pStyle w:val="Heading1"/>
        <w:spacing w:before="320" w:after="140"/>
        <w:rPr>
          <w:lang w:val="sr-Latn-RS"/>
        </w:rPr>
      </w:pPr>
      <w:r>
        <w:rPr>
          <w:b/>
          <w:bCs/>
          <w:color w:val="1F6F54"/>
          <w:sz w:val="30"/>
          <w:szCs w:val="30"/>
        </w:rPr>
        <w:t xml:space="preserve">1. </w:t>
      </w:r>
      <w:r w:rsidR="0091604A">
        <w:rPr>
          <w:b/>
          <w:bCs/>
          <w:color w:val="1F6F54"/>
          <w:sz w:val="30"/>
          <w:szCs w:val="30"/>
        </w:rPr>
        <w:t>Na</w:t>
      </w:r>
      <w:r w:rsidR="0091604A">
        <w:rPr>
          <w:b/>
          <w:bCs/>
          <w:color w:val="1F6F54"/>
          <w:sz w:val="30"/>
          <w:szCs w:val="30"/>
          <w:lang w:val="sr-Latn-RS"/>
        </w:rPr>
        <w:t>čelne primedbe</w:t>
      </w:r>
    </w:p>
    <w:p w14:paraId="4E6E6525" w14:textId="77777777" w:rsidR="00C9376D" w:rsidRDefault="00000000">
      <w:pPr>
        <w:spacing w:after="120" w:line="276" w:lineRule="auto"/>
        <w:jc w:val="both"/>
      </w:pPr>
      <w:r>
        <w:rPr>
          <w:b/>
          <w:bCs/>
        </w:rPr>
        <w:t xml:space="preserve">Nacrt je interno protivrecan. </w:t>
      </w:r>
      <w:r>
        <w:t>U Obrazlozenju se poziva na Reformsku agendu, Plan rasta EU za Zapadni Balkan, klimatsku otpornost, ocuvanje biodiverziteta i smanjenje pritiska na prirodna stanista (str. 25-27). Istovremeno, normativni deo Nacrta:</w:t>
      </w:r>
    </w:p>
    <w:p w14:paraId="7C2B130E" w14:textId="77777777" w:rsidR="00C9376D" w:rsidRDefault="00000000">
      <w:pPr>
        <w:pStyle w:val="ListParagraph"/>
        <w:numPr>
          <w:ilvl w:val="0"/>
          <w:numId w:val="2"/>
        </w:numPr>
        <w:spacing w:after="60" w:line="264" w:lineRule="auto"/>
        <w:jc w:val="both"/>
      </w:pPr>
      <w:r>
        <w:t>ne predvidja nijedan obavezan instrument ekoloske procene (strateska procena uticaja, procena uticaja na zivotnu sredinu, ocena prihvatljivosti za zasticena i ekoloski znacajna podrucja);</w:t>
      </w:r>
    </w:p>
    <w:p w14:paraId="1B86FF64" w14:textId="77777777" w:rsidR="00C9376D" w:rsidRDefault="00000000">
      <w:pPr>
        <w:pStyle w:val="ListParagraph"/>
        <w:numPr>
          <w:ilvl w:val="0"/>
          <w:numId w:val="2"/>
        </w:numPr>
        <w:spacing w:after="60" w:line="264" w:lineRule="auto"/>
        <w:jc w:val="both"/>
      </w:pPr>
      <w:r>
        <w:t>tretira ekoloske elemente pejzaza (medje, samoniklo rastinje, zivice) kao smetnju koju treba ukloniti (cl. 3, cl. 20, cl. 29);</w:t>
      </w:r>
    </w:p>
    <w:p w14:paraId="25006A2F" w14:textId="77777777" w:rsidR="00C9376D" w:rsidRDefault="00000000">
      <w:pPr>
        <w:pStyle w:val="ListParagraph"/>
        <w:numPr>
          <w:ilvl w:val="0"/>
          <w:numId w:val="2"/>
        </w:numPr>
        <w:spacing w:after="60" w:line="264" w:lineRule="auto"/>
        <w:jc w:val="both"/>
      </w:pPr>
      <w:r>
        <w:t>zabranjuje i kaznjava podizanje poljozastitnih pojaseva i posumljavanje unutar komasacionog podrucja (cl. 14. st. 4. tac. 3, cl. 47-49);</w:t>
      </w:r>
    </w:p>
    <w:p w14:paraId="1BF65229" w14:textId="77777777" w:rsidR="00C9376D" w:rsidRDefault="00000000">
      <w:pPr>
        <w:pStyle w:val="ListParagraph"/>
        <w:numPr>
          <w:ilvl w:val="0"/>
          <w:numId w:val="2"/>
        </w:numPr>
        <w:spacing w:after="60" w:line="264" w:lineRule="auto"/>
        <w:jc w:val="both"/>
      </w:pPr>
      <w:r>
        <w:t>ne obezbedjuje ucesce sektora zastite prirode u komisiji za komasaciju (cl. 15);</w:t>
      </w:r>
    </w:p>
    <w:p w14:paraId="3CAB88E3" w14:textId="46DB60E9" w:rsidR="00C9376D" w:rsidRDefault="00000000">
      <w:pPr>
        <w:spacing w:after="120" w:line="276" w:lineRule="auto"/>
        <w:jc w:val="both"/>
      </w:pPr>
      <w:r>
        <w:rPr>
          <w:b/>
          <w:bCs/>
        </w:rPr>
        <w:t xml:space="preserve">Posledica je da bi Nacrt, u sadasnjem obliku, mogao da institucionalizuje upravo one negativne efekte komasacije koje su evropska i regionalna strucna zajednica dokumentovale </w:t>
      </w:r>
      <w:r w:rsidR="001E5D8D">
        <w:rPr>
          <w:b/>
          <w:bCs/>
        </w:rPr>
        <w:t>:</w:t>
      </w:r>
      <w:r>
        <w:rPr>
          <w:b/>
          <w:bCs/>
        </w:rPr>
        <w:t xml:space="preserve"> gubitak biodiverziteta, eroziju, smanjenu otpornost na susu i degradaciju vodnog rezima.</w:t>
      </w:r>
    </w:p>
    <w:p w14:paraId="1BAF4602" w14:textId="67D1C687" w:rsidR="00C9376D" w:rsidRDefault="00000000">
      <w:pPr>
        <w:pStyle w:val="Heading1"/>
        <w:spacing w:before="320" w:after="140"/>
      </w:pPr>
      <w:r>
        <w:rPr>
          <w:b/>
          <w:bCs/>
          <w:color w:val="1F6F54"/>
          <w:sz w:val="30"/>
          <w:szCs w:val="30"/>
        </w:rPr>
        <w:t xml:space="preserve">2. </w:t>
      </w:r>
      <w:r w:rsidR="0091604A">
        <w:rPr>
          <w:b/>
          <w:bCs/>
          <w:color w:val="1F6F54"/>
          <w:sz w:val="30"/>
          <w:szCs w:val="30"/>
        </w:rPr>
        <w:t>Iskustva iz loših primera</w:t>
      </w:r>
    </w:p>
    <w:p w14:paraId="3A72AE8E" w14:textId="77777777" w:rsidR="00C9376D" w:rsidRDefault="00000000">
      <w:pPr>
        <w:pStyle w:val="Heading3"/>
        <w:spacing w:before="180" w:after="80"/>
      </w:pPr>
      <w:r>
        <w:rPr>
          <w:b/>
          <w:bCs/>
          <w:color w:val="1F6F54"/>
          <w:sz w:val="23"/>
          <w:szCs w:val="23"/>
        </w:rPr>
        <w:t>2.1. Biodiverzitet i stanista</w:t>
      </w:r>
    </w:p>
    <w:p w14:paraId="65F2B8E6" w14:textId="1DA09970" w:rsidR="00C9376D" w:rsidRDefault="00000000" w:rsidP="001E5D8D">
      <w:pPr>
        <w:pStyle w:val="ListParagraph"/>
        <w:numPr>
          <w:ilvl w:val="0"/>
          <w:numId w:val="2"/>
        </w:numPr>
        <w:spacing w:after="60" w:line="264" w:lineRule="auto"/>
        <w:jc w:val="both"/>
      </w:pPr>
      <w:r>
        <w:t>komasacija usmerena iskljucivo na produktivnost, bez ekoloskih kriterijuma, lako vodi u gubitak biodiverziteta, eroziju, osetljivost na susu i unistenje pejzaza</w:t>
      </w:r>
      <w:r w:rsidR="001E5D8D">
        <w:t>. Negativna iskustva pokazuju da&gt;</w:t>
      </w:r>
    </w:p>
    <w:p w14:paraId="0B434540" w14:textId="6A0C4FFF" w:rsidR="00C9376D" w:rsidRDefault="00000000" w:rsidP="001E5D8D">
      <w:pPr>
        <w:pStyle w:val="ListParagraph"/>
        <w:spacing w:after="60" w:line="264" w:lineRule="auto"/>
        <w:ind w:left="460"/>
        <w:jc w:val="both"/>
      </w:pPr>
      <w:r>
        <w:rPr>
          <w:b/>
          <w:bCs/>
        </w:rPr>
        <w:t xml:space="preserve">- </w:t>
      </w:r>
      <w:r>
        <w:t xml:space="preserve">nakon komasacije znacajno je opala raznovrsnost i brojnost ptica poljoprivrednih </w:t>
      </w:r>
      <w:r w:rsidR="001E5D8D">
        <w:t xml:space="preserve">stanitsa I da izazva </w:t>
      </w:r>
      <w:r>
        <w:t xml:space="preserve"> znacajan gubitak gustine zivica i povezanosti zelenih koridora, pri cemu drustveni troskovi (gubitak ekosistemskih usluga) mogu premasiti privatne koristi za poljoprivredu.</w:t>
      </w:r>
    </w:p>
    <w:p w14:paraId="2EC4501D" w14:textId="77777777" w:rsidR="00C9376D" w:rsidRDefault="00000000">
      <w:pPr>
        <w:pStyle w:val="Heading3"/>
        <w:spacing w:before="180" w:after="80"/>
      </w:pPr>
      <w:r>
        <w:rPr>
          <w:b/>
          <w:bCs/>
          <w:color w:val="1F6F54"/>
          <w:sz w:val="23"/>
          <w:szCs w:val="23"/>
        </w:rPr>
        <w:t>2.2. Klimatska adaptacija i zemljiste</w:t>
      </w:r>
    </w:p>
    <w:p w14:paraId="3C42344A" w14:textId="77777777" w:rsidR="00C9376D" w:rsidRDefault="00000000">
      <w:pPr>
        <w:pStyle w:val="ListParagraph"/>
        <w:numPr>
          <w:ilvl w:val="0"/>
          <w:numId w:val="2"/>
        </w:numPr>
        <w:spacing w:after="60" w:line="264" w:lineRule="auto"/>
        <w:jc w:val="both"/>
      </w:pPr>
      <w:r>
        <w:t>Uklanjanje vetrozastitnih pojaseva vodi vecoj eroziji vetrom; manje vegetacije - visa temperatura i brze isusivanje zemljista; brze oticanje padavina - manja infiltracija i veci rizik od suse; smanjeno vezivanje ugljenika u zemljistu.</w:t>
      </w:r>
    </w:p>
    <w:p w14:paraId="52DCC6DC" w14:textId="77777777" w:rsidR="00C9376D" w:rsidRDefault="00000000">
      <w:pPr>
        <w:pStyle w:val="ListParagraph"/>
        <w:numPr>
          <w:ilvl w:val="0"/>
          <w:numId w:val="2"/>
        </w:numPr>
        <w:spacing w:after="60" w:line="264" w:lineRule="auto"/>
        <w:jc w:val="both"/>
      </w:pPr>
      <w:r>
        <w:t>EU smernice (EIP-AGRI, EU CAP Network) danas insistiraju da komasacija mora ukljucivati mere klimatske adaptacije, a ne samo ukrupnjavanje parcela.</w:t>
      </w:r>
    </w:p>
    <w:p w14:paraId="60263D98" w14:textId="77777777" w:rsidR="001E5D8D" w:rsidRDefault="001E5D8D" w:rsidP="001E5D8D">
      <w:pPr>
        <w:pStyle w:val="ListParagraph"/>
        <w:spacing w:after="60" w:line="264" w:lineRule="auto"/>
        <w:ind w:left="460"/>
        <w:jc w:val="both"/>
      </w:pPr>
    </w:p>
    <w:p w14:paraId="7AC5C6CD" w14:textId="77777777" w:rsidR="00C9376D" w:rsidRDefault="00000000">
      <w:pPr>
        <w:pStyle w:val="Heading3"/>
        <w:spacing w:before="180" w:after="80"/>
      </w:pPr>
      <w:r>
        <w:rPr>
          <w:b/>
          <w:bCs/>
          <w:color w:val="1F6F54"/>
          <w:sz w:val="23"/>
          <w:szCs w:val="23"/>
        </w:rPr>
        <w:t>2.3. Vodni rezim</w:t>
      </w:r>
    </w:p>
    <w:p w14:paraId="1068A15C" w14:textId="77777777" w:rsidR="00C9376D" w:rsidRDefault="00000000">
      <w:pPr>
        <w:pStyle w:val="ListParagraph"/>
        <w:numPr>
          <w:ilvl w:val="0"/>
          <w:numId w:val="2"/>
        </w:numPr>
        <w:spacing w:after="60" w:line="264" w:lineRule="auto"/>
        <w:jc w:val="both"/>
      </w:pPr>
      <w:r>
        <w:lastRenderedPageBreak/>
        <w:t>U Sloveniji, Hrvatskoj, Austriji i Nemackoj dokumentovano je da tradicionalna komasacija ispravlja male vodotoke, zatrpava depresije i vlazna stanista, povecava povrsinsko oticanje i rizik od bujicnih poplava.</w:t>
      </w:r>
    </w:p>
    <w:p w14:paraId="7CDC6694" w14:textId="3D6D8707" w:rsidR="00C9376D" w:rsidRDefault="00000000">
      <w:pPr>
        <w:pStyle w:val="Heading1"/>
        <w:spacing w:before="320" w:after="140"/>
      </w:pPr>
      <w:r>
        <w:rPr>
          <w:b/>
          <w:bCs/>
          <w:color w:val="1F6F54"/>
          <w:sz w:val="30"/>
          <w:szCs w:val="30"/>
        </w:rPr>
        <w:t xml:space="preserve">3. </w:t>
      </w:r>
      <w:r w:rsidR="0091604A">
        <w:rPr>
          <w:b/>
          <w:bCs/>
          <w:color w:val="1F6F54"/>
          <w:sz w:val="30"/>
          <w:szCs w:val="30"/>
        </w:rPr>
        <w:t>Neusaglašenost</w:t>
      </w:r>
    </w:p>
    <w:p w14:paraId="2E5841BD" w14:textId="77777777" w:rsidR="00C9376D" w:rsidRDefault="00000000">
      <w:pPr>
        <w:pStyle w:val="Heading3"/>
        <w:spacing w:before="180" w:after="80"/>
      </w:pPr>
      <w:r>
        <w:rPr>
          <w:b/>
          <w:bCs/>
          <w:color w:val="1F6F54"/>
          <w:sz w:val="23"/>
          <w:szCs w:val="23"/>
        </w:rPr>
        <w:t>3.1. Reformska agenda i Plan rasta EU za Zapadni Balkan</w:t>
      </w:r>
    </w:p>
    <w:p w14:paraId="0ADEC0D0" w14:textId="77777777" w:rsidR="00C9376D" w:rsidRDefault="00000000">
      <w:pPr>
        <w:spacing w:after="120" w:line="276" w:lineRule="auto"/>
        <w:jc w:val="both"/>
      </w:pPr>
      <w:r>
        <w:t>Obrazlozenje Nacrta (str. 25) donosenje zakona izvodi upravo iz Reformske agende i Plana rasta. Plan rasta uslovljava pristup sredstvima sustinskim (ne samo deklarativnim) uskladjivanjem sa pravnim tekovinama EU, ukljucujuci poglavlje o zivotnoj sredini i klimi. Zakon koji izostavlja ekoloske instrumente rizikuje ocenu neuskladjenosti pri komentarisanju od strane EK.</w:t>
      </w:r>
    </w:p>
    <w:p w14:paraId="1E97942D" w14:textId="77777777" w:rsidR="00C9376D" w:rsidRDefault="00000000">
      <w:pPr>
        <w:pStyle w:val="Heading3"/>
        <w:spacing w:before="180" w:after="80"/>
      </w:pPr>
      <w:r>
        <w:rPr>
          <w:b/>
          <w:bCs/>
          <w:color w:val="1F6F54"/>
          <w:sz w:val="23"/>
          <w:szCs w:val="23"/>
        </w:rPr>
        <w:t>3.2. Zelena agenda za Zapadni Balkan (Sofijska deklaracija, 2020)</w:t>
      </w:r>
    </w:p>
    <w:p w14:paraId="381C470F" w14:textId="77777777" w:rsidR="00C9376D" w:rsidRDefault="00000000">
      <w:pPr>
        <w:spacing w:after="120" w:line="276" w:lineRule="auto"/>
        <w:jc w:val="both"/>
      </w:pPr>
      <w:r>
        <w:t>Zelena agenda obavezuje Srbiju, izmedju ostalog, na dekarbonizaciju i klimatsku otpornost, sprecavanje gubitka biodiverziteta i zastitu ekosistema, odrzivo upravljanje zemljistem i vodama. Komasacija sa uklanjanjem krajobraznih elemenata i bez ekoloske procene direktno je suprotna stubovima Zelene agende koji se odnose na biodiverzitet i prirodni kapital.</w:t>
      </w:r>
    </w:p>
    <w:p w14:paraId="2FDED395" w14:textId="77777777" w:rsidR="00C9376D" w:rsidRDefault="00000000">
      <w:pPr>
        <w:pStyle w:val="Heading3"/>
        <w:spacing w:before="180" w:after="80"/>
      </w:pPr>
      <w:r>
        <w:rPr>
          <w:b/>
          <w:bCs/>
          <w:color w:val="1F6F54"/>
          <w:sz w:val="23"/>
          <w:szCs w:val="23"/>
        </w:rPr>
        <w:t>3.3. Pravne tekovine EU o prirodi i proceni uticaja</w:t>
      </w:r>
    </w:p>
    <w:p w14:paraId="1267B966" w14:textId="77777777" w:rsidR="00C9376D" w:rsidRDefault="00000000">
      <w:pPr>
        <w:pStyle w:val="ListParagraph"/>
        <w:numPr>
          <w:ilvl w:val="0"/>
          <w:numId w:val="2"/>
        </w:numPr>
        <w:spacing w:after="60" w:line="264" w:lineRule="auto"/>
        <w:jc w:val="both"/>
      </w:pPr>
      <w:r>
        <w:t>Direktiva o stanistima (92/43/EEZ) i Direktiva o pticama (2009/147/EZ) - obaveza ocene prihvatljivosti za podrucja ekoloske mreze (odgovaraju buducem Natura 2000);</w:t>
      </w:r>
    </w:p>
    <w:p w14:paraId="30402F5C" w14:textId="77777777" w:rsidR="00C9376D" w:rsidRDefault="00000000">
      <w:pPr>
        <w:pStyle w:val="ListParagraph"/>
        <w:numPr>
          <w:ilvl w:val="0"/>
          <w:numId w:val="2"/>
        </w:numPr>
        <w:spacing w:after="60" w:line="264" w:lineRule="auto"/>
        <w:jc w:val="both"/>
      </w:pPr>
      <w:r>
        <w:t>Direktiva o proceni uticaja na zivotnu sredinu (2011/92/EU) i Direktiva o strateskoj proceni (2001/42/EZ) - planovi/projekti restrukturiranja ruralnog poseda spadaju u domen procene;</w:t>
      </w:r>
    </w:p>
    <w:p w14:paraId="2965A3D5" w14:textId="77777777" w:rsidR="00C9376D" w:rsidRDefault="00000000">
      <w:pPr>
        <w:pStyle w:val="ListParagraph"/>
        <w:numPr>
          <w:ilvl w:val="0"/>
          <w:numId w:val="2"/>
        </w:numPr>
        <w:spacing w:after="60" w:line="264" w:lineRule="auto"/>
        <w:jc w:val="both"/>
      </w:pPr>
      <w:r>
        <w:t>Okvirna direktiva o vodama (2000/60/EZ) - zabrana pogorsanja stanja vodnih tela, relevantna za odvodnjavanje i regulaciju vodotoka u komasaciji;</w:t>
      </w:r>
    </w:p>
    <w:p w14:paraId="3B4AD9D4" w14:textId="77777777" w:rsidR="00C9376D" w:rsidRDefault="00000000">
      <w:pPr>
        <w:pStyle w:val="ListParagraph"/>
        <w:numPr>
          <w:ilvl w:val="0"/>
          <w:numId w:val="2"/>
        </w:numPr>
        <w:spacing w:after="60" w:line="264" w:lineRule="auto"/>
        <w:jc w:val="both"/>
      </w:pPr>
      <w:r>
        <w:t>Zakon o obnovi prirode EU (Nature Restoration Law, 2024) - obaveza ocuvanja i obnove krajobraznih elemenata visoke raznovrsnosti u poljoprivrednim podrucjima.</w:t>
      </w:r>
    </w:p>
    <w:p w14:paraId="41935D60" w14:textId="77777777" w:rsidR="00C9376D" w:rsidRDefault="00000000">
      <w:pPr>
        <w:pStyle w:val="Heading3"/>
        <w:spacing w:before="180" w:after="80"/>
      </w:pPr>
      <w:r>
        <w:rPr>
          <w:b/>
          <w:bCs/>
          <w:color w:val="1F6F54"/>
          <w:sz w:val="23"/>
          <w:szCs w:val="23"/>
        </w:rPr>
        <w:t>3.4. Domaci strateski i pravni okvir</w:t>
      </w:r>
    </w:p>
    <w:p w14:paraId="4D721107" w14:textId="77777777" w:rsidR="00C9376D" w:rsidRDefault="00000000">
      <w:pPr>
        <w:pStyle w:val="ListParagraph"/>
        <w:numPr>
          <w:ilvl w:val="0"/>
          <w:numId w:val="2"/>
        </w:numPr>
        <w:spacing w:after="60" w:line="264" w:lineRule="auto"/>
        <w:jc w:val="both"/>
      </w:pPr>
      <w:r>
        <w:t>Zakon o zastiti prirode i Zakon o strateskoj proceni uticaja na zivotnu sredinu - SPU je obavezna za planove i programe koji uspostavljaju okvir za buduce projekte i mogu imati znacajan uticaj; program/odluka o komasaciji ima upravo takav karakter;</w:t>
      </w:r>
    </w:p>
    <w:p w14:paraId="2C041BA0" w14:textId="77777777" w:rsidR="00C9376D" w:rsidRDefault="00000000">
      <w:pPr>
        <w:pStyle w:val="ListParagraph"/>
        <w:numPr>
          <w:ilvl w:val="0"/>
          <w:numId w:val="2"/>
        </w:numPr>
        <w:spacing w:after="60" w:line="264" w:lineRule="auto"/>
        <w:jc w:val="both"/>
      </w:pPr>
      <w:r>
        <w:t>Zakon o proceni uticaja na zivotnu sredinu - pojedini radovi u komasaciji (sistemi za odvodnjavanje/navodnjavanje, krcenje, mreza puteva) potpadaju pod rezim procene;</w:t>
      </w:r>
    </w:p>
    <w:p w14:paraId="56F9AEB6" w14:textId="77777777" w:rsidR="001E5D8D" w:rsidRDefault="00000000" w:rsidP="001E5D8D">
      <w:pPr>
        <w:pStyle w:val="ListParagraph"/>
        <w:numPr>
          <w:ilvl w:val="0"/>
          <w:numId w:val="2"/>
        </w:numPr>
        <w:spacing w:after="120" w:line="276" w:lineRule="auto"/>
        <w:jc w:val="both"/>
      </w:pPr>
      <w:r>
        <w:t>Ciljevi nacionalnog okvira za biodiverzitet i obaveze iz Konvencije o bioloskoj raznovrsnosti (</w:t>
      </w:r>
    </w:p>
    <w:p w14:paraId="5DF6A2D1" w14:textId="77777777" w:rsidR="00C9376D" w:rsidRDefault="00C9376D">
      <w:pPr>
        <w:spacing w:before="200"/>
      </w:pPr>
    </w:p>
    <w:p w14:paraId="59D11A4B" w14:textId="7EBEF632" w:rsidR="00C9376D" w:rsidRDefault="00000000">
      <w:pPr>
        <w:pStyle w:val="Heading1"/>
        <w:spacing w:before="320" w:after="140"/>
      </w:pPr>
      <w:r>
        <w:rPr>
          <w:b/>
          <w:bCs/>
          <w:color w:val="1F6F54"/>
          <w:sz w:val="30"/>
          <w:szCs w:val="30"/>
        </w:rPr>
        <w:t>4. Primena principa zasnovanih na prirodi (NbS) kao obaveza</w:t>
      </w:r>
    </w:p>
    <w:p w14:paraId="45EA9E71" w14:textId="77777777" w:rsidR="00C9376D" w:rsidRDefault="00000000">
      <w:pPr>
        <w:spacing w:after="120" w:line="276" w:lineRule="auto"/>
        <w:jc w:val="both"/>
      </w:pPr>
      <w:r>
        <w:rPr>
          <w:b/>
          <w:bCs/>
        </w:rPr>
        <w:t xml:space="preserve">Kljucna dopuna koju predlazemo jeste ugradnja resenja zasnovanih na prirodi (engl. Nature-based Solutions - NbS) kao obaveznog metodoloskog okvira citavog postupka komasacije, a ne kao dobrovoljne mere prepustene diskreciji izvodjaca. </w:t>
      </w:r>
      <w:r>
        <w:t>NbS su, prema definiciji Evropske komisije i IUCN globalnog standarda, mere inspirisane i podrzane prirodom koje istovremeno resavaju drustvene izazove (susa, poplave, erozija, toplotni stres, gubitak biodiverziteta) i donose merljive koristi poljoprivredi. U kontekstu komasacije to znaci da se ukrupnjavanje parcela projektuje zajedno sa zelenom i plavom infrastrukturom, a ne na njen racun.</w:t>
      </w:r>
    </w:p>
    <w:p w14:paraId="54CD1DCE" w14:textId="5733B535" w:rsidR="00C9376D" w:rsidRDefault="00000000">
      <w:pPr>
        <w:spacing w:after="120" w:line="276" w:lineRule="auto"/>
        <w:jc w:val="both"/>
      </w:pPr>
      <w:r>
        <w:rPr>
          <w:b/>
          <w:bCs/>
        </w:rPr>
        <w:lastRenderedPageBreak/>
        <w:t xml:space="preserve">Zasto obaveza: </w:t>
      </w:r>
      <w:r>
        <w:t>Zelena agenda za Zapadni Balkan, Strategija EU za biodiverzitet do 2030. i Strategija EU za prilagodjavanje klimatskim promenama izricito promovisu NbS kao prioritetni pristup. Prepustanje NbS dobrovoljnosti, u zakonu koji istovremeno kaznjava podizanje pojaseva, u praksi znaci njegovo iskljucenje.</w:t>
      </w:r>
    </w:p>
    <w:p w14:paraId="0BB235C8" w14:textId="77777777" w:rsidR="00C9376D" w:rsidRDefault="00C9376D">
      <w:pPr>
        <w:spacing w:before="200"/>
      </w:pPr>
    </w:p>
    <w:p w14:paraId="4EC5E018" w14:textId="77777777" w:rsidR="00C9376D" w:rsidRDefault="00000000">
      <w:pPr>
        <w:pStyle w:val="Heading1"/>
        <w:spacing w:before="320" w:after="140"/>
        <w:rPr>
          <w:b/>
          <w:bCs/>
          <w:color w:val="1F6F54"/>
          <w:sz w:val="30"/>
          <w:szCs w:val="30"/>
        </w:rPr>
      </w:pPr>
      <w:r>
        <w:rPr>
          <w:b/>
          <w:bCs/>
          <w:color w:val="1F6F54"/>
          <w:sz w:val="30"/>
          <w:szCs w:val="30"/>
        </w:rPr>
        <w:t>5. Konkretni predlozi amandmana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00"/>
        <w:gridCol w:w="3930"/>
        <w:gridCol w:w="3930"/>
      </w:tblGrid>
      <w:tr w:rsidR="0091604A" w:rsidRPr="0091604A" w14:paraId="65E885BD" w14:textId="77777777" w:rsidTr="00D51EBE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1500" w:type="dxa"/>
            <w:shd w:val="clear" w:color="auto" w:fill="D9D9D9"/>
          </w:tcPr>
          <w:p w14:paraId="2D7F5C59" w14:textId="77777777" w:rsidR="0091604A" w:rsidRPr="0091604A" w:rsidRDefault="0091604A" w:rsidP="0091604A">
            <w:pPr>
              <w:spacing w:after="4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91604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Odredba</w:t>
            </w:r>
          </w:p>
        </w:tc>
        <w:tc>
          <w:tcPr>
            <w:tcW w:w="3930" w:type="dxa"/>
            <w:shd w:val="clear" w:color="auto" w:fill="D9D9D9"/>
          </w:tcPr>
          <w:p w14:paraId="0A0688C5" w14:textId="77777777" w:rsidR="0091604A" w:rsidRPr="0091604A" w:rsidRDefault="0091604A" w:rsidP="0091604A">
            <w:pPr>
              <w:spacing w:after="4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91604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Predlog izmene / dopune</w:t>
            </w:r>
          </w:p>
        </w:tc>
        <w:tc>
          <w:tcPr>
            <w:tcW w:w="3930" w:type="dxa"/>
            <w:shd w:val="clear" w:color="auto" w:fill="D9D9D9"/>
          </w:tcPr>
          <w:p w14:paraId="37B99727" w14:textId="77777777" w:rsidR="0091604A" w:rsidRPr="0091604A" w:rsidRDefault="0091604A" w:rsidP="0091604A">
            <w:pPr>
              <w:spacing w:after="4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91604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Obrazloženje i pravni osnov</w:t>
            </w:r>
          </w:p>
        </w:tc>
      </w:tr>
      <w:tr w:rsidR="0091604A" w:rsidRPr="0091604A" w14:paraId="3239A09D" w14:textId="77777777" w:rsidTr="00D51EBE">
        <w:tblPrEx>
          <w:tblCellMar>
            <w:top w:w="0" w:type="dxa"/>
            <w:bottom w:w="0" w:type="dxa"/>
          </w:tblCellMar>
        </w:tblPrEx>
        <w:tc>
          <w:tcPr>
            <w:tcW w:w="1500" w:type="dxa"/>
          </w:tcPr>
          <w:p w14:paraId="245F83F2" w14:textId="77777777" w:rsidR="0091604A" w:rsidRPr="0091604A" w:rsidRDefault="0091604A" w:rsidP="0091604A">
            <w:pPr>
              <w:spacing w:after="4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91604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A1 – čl. 8 (razlozi)</w:t>
            </w:r>
          </w:p>
        </w:tc>
        <w:tc>
          <w:tcPr>
            <w:tcW w:w="3930" w:type="dxa"/>
          </w:tcPr>
          <w:p w14:paraId="7F559E0C" w14:textId="77777777" w:rsidR="0091604A" w:rsidRPr="0091604A" w:rsidRDefault="0091604A" w:rsidP="0091604A">
            <w:pPr>
              <w:spacing w:after="4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91604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U stavu 1. dodati da se pri utvrđivanju razloga za komasaciju uzimaju u obzir i ciljevi zaštite prirode, prilagođavanja klimatskim promenama i očuvanja vodnog režima. Predlažemo i novi stav kojim se komasacija ne bi sprovodila tako da pogorša stanje zaštićenih područja, područja ekološke mreže i vodnih tela.</w:t>
            </w:r>
          </w:p>
        </w:tc>
        <w:tc>
          <w:tcPr>
            <w:tcW w:w="3930" w:type="dxa"/>
          </w:tcPr>
          <w:p w14:paraId="129D28F9" w14:textId="77777777" w:rsidR="0091604A" w:rsidRPr="0091604A" w:rsidRDefault="0091604A" w:rsidP="0091604A">
            <w:pPr>
              <w:spacing w:after="4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91604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Član 8. nabraja razloge za komasaciju, ali ne postavlja nijedno ekološko ograničenje. Dok god takvog uslova nema, ciljevi navedeni u članu 3. i članu 4. tačka 3. ostaju bez praktičnog dejstva. Pravni osnov: direktive 92/43, 2009/147 i 2000/60, kao i Zelena agenda za Zapadni Balkan.</w:t>
            </w:r>
          </w:p>
        </w:tc>
      </w:tr>
      <w:tr w:rsidR="0091604A" w:rsidRPr="0091604A" w14:paraId="4B64E7A9" w14:textId="77777777" w:rsidTr="00D51EBE">
        <w:tblPrEx>
          <w:tblCellMar>
            <w:top w:w="0" w:type="dxa"/>
            <w:bottom w:w="0" w:type="dxa"/>
          </w:tblCellMar>
        </w:tblPrEx>
        <w:tc>
          <w:tcPr>
            <w:tcW w:w="1500" w:type="dxa"/>
          </w:tcPr>
          <w:p w14:paraId="67D37DCD" w14:textId="77777777" w:rsidR="0091604A" w:rsidRPr="0091604A" w:rsidRDefault="0091604A" w:rsidP="0091604A">
            <w:pPr>
              <w:spacing w:after="4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91604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A2 – nov član (SPU/PUŽS)</w:t>
            </w:r>
          </w:p>
        </w:tc>
        <w:tc>
          <w:tcPr>
            <w:tcW w:w="3930" w:type="dxa"/>
          </w:tcPr>
          <w:p w14:paraId="378E085A" w14:textId="77777777" w:rsidR="0091604A" w:rsidRPr="0091604A" w:rsidRDefault="0091604A" w:rsidP="0091604A">
            <w:pPr>
              <w:spacing w:after="4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91604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Propisati stratešku procenu uticaja za program komasacije. Kada se područje nalazi u zaštićenom ili ekološki značajnom području, ili u njegovoj blizini, tražiti i procenu uticaja, odnosno ocenu prihvatljivosti, i to pre nego što se donese odluka o sprovođenju iz člana 14. Odluku ne bi trebalo doneti ako procena pokaže značajan negativan uticaj koji se ne može ublažiti.</w:t>
            </w:r>
          </w:p>
        </w:tc>
        <w:tc>
          <w:tcPr>
            <w:tcW w:w="3930" w:type="dxa"/>
          </w:tcPr>
          <w:p w14:paraId="5EE3273B" w14:textId="77777777" w:rsidR="0091604A" w:rsidRPr="0091604A" w:rsidRDefault="0091604A" w:rsidP="0091604A">
            <w:pPr>
              <w:spacing w:after="4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91604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Ovo je najozbiljniji propust u Nacrtu i odstupanje od uobičajenog uporednog rešenja. Pravni osnov: direktive 2001/42, 2011/92 i 92/43, Zakon o strateškoj proceni i Zakon o proceni uticaja na životnu sredinu.</w:t>
            </w:r>
          </w:p>
        </w:tc>
      </w:tr>
      <w:tr w:rsidR="0091604A" w:rsidRPr="0091604A" w14:paraId="6D8F0DCD" w14:textId="77777777" w:rsidTr="00D51EBE">
        <w:tblPrEx>
          <w:tblCellMar>
            <w:top w:w="0" w:type="dxa"/>
            <w:bottom w:w="0" w:type="dxa"/>
          </w:tblCellMar>
        </w:tblPrEx>
        <w:tc>
          <w:tcPr>
            <w:tcW w:w="1500" w:type="dxa"/>
          </w:tcPr>
          <w:p w14:paraId="79182771" w14:textId="77777777" w:rsidR="0091604A" w:rsidRPr="0091604A" w:rsidRDefault="0091604A" w:rsidP="0091604A">
            <w:pPr>
              <w:spacing w:after="4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91604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A3 – čl. 15 (sastav komisije)</w:t>
            </w:r>
          </w:p>
        </w:tc>
        <w:tc>
          <w:tcPr>
            <w:tcW w:w="3930" w:type="dxa"/>
          </w:tcPr>
          <w:p w14:paraId="2EAE0D38" w14:textId="77777777" w:rsidR="0091604A" w:rsidRPr="0091604A" w:rsidRDefault="0091604A" w:rsidP="0091604A">
            <w:pPr>
              <w:spacing w:after="4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91604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U sastav komisije uvrstiti i člana sa visokim obrazovanjem iz biologije, ekologije ili zaštite životne sredine. Kada obuhvat zahvata zaštićena ili ekološki značajna područja, pribaviti i mišljenje nadležnog zavoda za zaštitu prirode.</w:t>
            </w:r>
          </w:p>
        </w:tc>
        <w:tc>
          <w:tcPr>
            <w:tcW w:w="3930" w:type="dxa"/>
          </w:tcPr>
          <w:p w14:paraId="663DD7DC" w14:textId="77777777" w:rsidR="0091604A" w:rsidRPr="0091604A" w:rsidRDefault="0091604A" w:rsidP="0091604A">
            <w:pPr>
              <w:spacing w:after="4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91604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U komisiji sada sede pravnik, agronom, geodeta, arhitekta i, po potrebi, šumar. Struke koja bi vodila računa o zaštiti prirode nema, pa u postupku niko ne odgovara za ekološke kriterijume.</w:t>
            </w:r>
          </w:p>
        </w:tc>
      </w:tr>
      <w:tr w:rsidR="0091604A" w:rsidRPr="0091604A" w14:paraId="2E7F7A84" w14:textId="77777777" w:rsidTr="00D51EBE">
        <w:tblPrEx>
          <w:tblCellMar>
            <w:top w:w="0" w:type="dxa"/>
            <w:bottom w:w="0" w:type="dxa"/>
          </w:tblCellMar>
        </w:tblPrEx>
        <w:tc>
          <w:tcPr>
            <w:tcW w:w="1500" w:type="dxa"/>
          </w:tcPr>
          <w:p w14:paraId="24116D7B" w14:textId="77777777" w:rsidR="0091604A" w:rsidRPr="0091604A" w:rsidRDefault="0091604A" w:rsidP="0091604A">
            <w:pPr>
              <w:spacing w:after="4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91604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A4 – čl. 14, 47–49 (zabrane i kazne)</w:t>
            </w:r>
          </w:p>
        </w:tc>
        <w:tc>
          <w:tcPr>
            <w:tcW w:w="3930" w:type="dxa"/>
          </w:tcPr>
          <w:p w14:paraId="4BA1D2D6" w14:textId="77777777" w:rsidR="0091604A" w:rsidRPr="0091604A" w:rsidRDefault="0091604A" w:rsidP="0091604A">
            <w:pPr>
              <w:spacing w:after="4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91604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Iz zabrane u članu 14. stav 4. tačka 3. izuzeti podizanje poljozaštitnih pojaseva, živica i pošumljavanje, a odgovarajuće prekršaje iz članova 47–49. brisati. Te radnje dozvoliti uz saglasnost komisije. Zabrana izgradnje objekata ostaje.</w:t>
            </w:r>
          </w:p>
        </w:tc>
        <w:tc>
          <w:tcPr>
            <w:tcW w:w="3930" w:type="dxa"/>
          </w:tcPr>
          <w:p w14:paraId="1A223CB4" w14:textId="77777777" w:rsidR="0091604A" w:rsidRPr="0091604A" w:rsidRDefault="0091604A" w:rsidP="0091604A">
            <w:pPr>
              <w:spacing w:after="4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91604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Ovako postavljen, Nacrt kažnjava baš ono što bi ekološki trebalo podsticati. To se kosi sa članom 3, koji govori o očuvanju životne sredine, kao i sa evropskim Zakonom o obnovi prirode iz 2024. i Zelenom agendom.</w:t>
            </w:r>
          </w:p>
        </w:tc>
      </w:tr>
      <w:tr w:rsidR="0091604A" w:rsidRPr="0091604A" w14:paraId="4C9CB001" w14:textId="77777777" w:rsidTr="00D51EBE">
        <w:tblPrEx>
          <w:tblCellMar>
            <w:top w:w="0" w:type="dxa"/>
            <w:bottom w:w="0" w:type="dxa"/>
          </w:tblCellMar>
        </w:tblPrEx>
        <w:tc>
          <w:tcPr>
            <w:tcW w:w="1500" w:type="dxa"/>
          </w:tcPr>
          <w:p w14:paraId="6B8BEB79" w14:textId="77777777" w:rsidR="0091604A" w:rsidRPr="0091604A" w:rsidRDefault="0091604A" w:rsidP="0091604A">
            <w:pPr>
              <w:spacing w:after="4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91604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A5 – čl. 6, 41 (podaci/ISOK)</w:t>
            </w:r>
          </w:p>
        </w:tc>
        <w:tc>
          <w:tcPr>
            <w:tcW w:w="3930" w:type="dxa"/>
          </w:tcPr>
          <w:p w14:paraId="71D572C5" w14:textId="77777777" w:rsidR="0091604A" w:rsidRPr="0091604A" w:rsidRDefault="0091604A" w:rsidP="0091604A">
            <w:pPr>
              <w:spacing w:after="4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91604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ISOK i razmena podataka iz člana 6. treba da obuhvate i podatke o zaštićenim područjima, ekološkoj mreži, vodnim telima i staništima. Ti podaci bili bi obavezan sloj već pri planiranju.</w:t>
            </w:r>
          </w:p>
        </w:tc>
        <w:tc>
          <w:tcPr>
            <w:tcW w:w="3930" w:type="dxa"/>
          </w:tcPr>
          <w:p w14:paraId="24A0EC79" w14:textId="77777777" w:rsidR="0091604A" w:rsidRPr="0091604A" w:rsidRDefault="0091604A" w:rsidP="0091604A">
            <w:pPr>
              <w:spacing w:after="4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91604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Ako tih podataka nema u sistemu, ekološka provera se u praksi ne može ni sprovesti. Pravni osnov: INSPIRE i načelo javnosti iz člana 4. tačka 1.</w:t>
            </w:r>
          </w:p>
        </w:tc>
      </w:tr>
      <w:tr w:rsidR="0091604A" w:rsidRPr="0091604A" w14:paraId="0861F1E0" w14:textId="77777777" w:rsidTr="00D51EBE">
        <w:tblPrEx>
          <w:tblCellMar>
            <w:top w:w="0" w:type="dxa"/>
            <w:bottom w:w="0" w:type="dxa"/>
          </w:tblCellMar>
        </w:tblPrEx>
        <w:tc>
          <w:tcPr>
            <w:tcW w:w="1500" w:type="dxa"/>
          </w:tcPr>
          <w:p w14:paraId="3218EC3B" w14:textId="77777777" w:rsidR="0091604A" w:rsidRPr="0091604A" w:rsidRDefault="0091604A" w:rsidP="0091604A">
            <w:pPr>
              <w:spacing w:after="4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91604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A6 – čl. 2 i čl. 3 (definicije/cilj) [NbS]</w:t>
            </w:r>
          </w:p>
        </w:tc>
        <w:tc>
          <w:tcPr>
            <w:tcW w:w="3930" w:type="dxa"/>
          </w:tcPr>
          <w:p w14:paraId="012B736C" w14:textId="77777777" w:rsidR="0091604A" w:rsidRPr="0091604A" w:rsidRDefault="0091604A" w:rsidP="0091604A">
            <w:pPr>
              <w:spacing w:after="4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91604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U član 2. uneti definiciju rešenja zasnovanih na prirodi (NbS): to su mere zaštite, održivog upravljanja i obnove ekosistema koje istovremeno odgovaraju na društvene izazove poput suše, poplava, erozije i gubitka biodiverziteta, a poljoprivredi donose korist. Primenu NbS uvrstiti među ciljeve komasacije u članu 3.</w:t>
            </w:r>
          </w:p>
        </w:tc>
        <w:tc>
          <w:tcPr>
            <w:tcW w:w="3930" w:type="dxa"/>
          </w:tcPr>
          <w:p w14:paraId="7AF79D7E" w14:textId="77777777" w:rsidR="0091604A" w:rsidRPr="0091604A" w:rsidRDefault="0091604A" w:rsidP="0091604A">
            <w:pPr>
              <w:spacing w:after="4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91604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Dok NbS nije ni definisan ni postavljen kao cilj, ostaje na nivou preporuke. Unet u članove 2. i 3, postaje merilo po kome se ceni zakonitost svake faze postupka. Pravni osnov: definicija NbS Evropske komisije, Strategija EU za biodiverzitet do 2030. i IUCN Global Standard for NbS.</w:t>
            </w:r>
          </w:p>
        </w:tc>
      </w:tr>
      <w:tr w:rsidR="0091604A" w:rsidRPr="0091604A" w14:paraId="0B11B02E" w14:textId="77777777" w:rsidTr="00D51EBE">
        <w:tblPrEx>
          <w:tblCellMar>
            <w:top w:w="0" w:type="dxa"/>
            <w:bottom w:w="0" w:type="dxa"/>
          </w:tblCellMar>
        </w:tblPrEx>
        <w:tc>
          <w:tcPr>
            <w:tcW w:w="1500" w:type="dxa"/>
          </w:tcPr>
          <w:p w14:paraId="3088CA36" w14:textId="77777777" w:rsidR="0091604A" w:rsidRPr="0091604A" w:rsidRDefault="0091604A" w:rsidP="0091604A">
            <w:pPr>
              <w:spacing w:after="4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91604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A7 – čl. 32 (zemljište za NbS) [NbS]</w:t>
            </w:r>
          </w:p>
        </w:tc>
        <w:tc>
          <w:tcPr>
            <w:tcW w:w="3930" w:type="dxa"/>
          </w:tcPr>
          <w:p w14:paraId="0AC23710" w14:textId="77777777" w:rsidR="0091604A" w:rsidRPr="0091604A" w:rsidRDefault="0091604A" w:rsidP="0091604A">
            <w:pPr>
              <w:spacing w:after="4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91604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Odrediti najmanji deo komasacione mase, izražen procentom, koji se izdvaja za ekološke namene i NbS. Tako izdvojene površine ne bi se vraćale u intenzivnu obradu.</w:t>
            </w:r>
          </w:p>
        </w:tc>
        <w:tc>
          <w:tcPr>
            <w:tcW w:w="3930" w:type="dxa"/>
          </w:tcPr>
          <w:p w14:paraId="57C71230" w14:textId="77777777" w:rsidR="0091604A" w:rsidRPr="0091604A" w:rsidRDefault="0091604A" w:rsidP="0091604A">
            <w:pPr>
              <w:spacing w:after="4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91604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Istraživanja pokazuju da komasacijom nestane i do polovine graničnih ekoloških elemenata. Jedini pouzdan način da se to zaustavi jeste jasan količinski prag.</w:t>
            </w:r>
          </w:p>
        </w:tc>
      </w:tr>
    </w:tbl>
    <w:p w14:paraId="7296F96B" w14:textId="77777777" w:rsidR="0091604A" w:rsidRDefault="0091604A">
      <w:pPr>
        <w:pStyle w:val="Heading1"/>
        <w:spacing w:before="320" w:after="140"/>
        <w:rPr>
          <w:b/>
          <w:bCs/>
          <w:color w:val="1F6F54"/>
          <w:sz w:val="30"/>
          <w:szCs w:val="30"/>
        </w:rPr>
      </w:pPr>
    </w:p>
    <w:p w14:paraId="79814E5F" w14:textId="77777777" w:rsidR="0091604A" w:rsidRDefault="0091604A">
      <w:pPr>
        <w:pStyle w:val="Heading1"/>
        <w:spacing w:before="320" w:after="140"/>
        <w:rPr>
          <w:b/>
          <w:bCs/>
          <w:color w:val="1F6F54"/>
          <w:sz w:val="30"/>
          <w:szCs w:val="30"/>
        </w:rPr>
      </w:pPr>
    </w:p>
    <w:p w14:paraId="0EFFDD92" w14:textId="77777777" w:rsidR="0091604A" w:rsidRDefault="0091604A">
      <w:pPr>
        <w:pStyle w:val="Heading1"/>
        <w:spacing w:before="320" w:after="140"/>
      </w:pPr>
    </w:p>
    <w:p w14:paraId="1832D987" w14:textId="777096D9" w:rsidR="00C9376D" w:rsidRDefault="00C9376D">
      <w:pPr>
        <w:spacing w:after="120" w:line="276" w:lineRule="auto"/>
        <w:jc w:val="both"/>
      </w:pPr>
    </w:p>
    <w:p w14:paraId="53AA0D8F" w14:textId="77777777" w:rsidR="00C9376D" w:rsidRDefault="00000000">
      <w:pPr>
        <w:pStyle w:val="ListParagraph"/>
        <w:numPr>
          <w:ilvl w:val="0"/>
          <w:numId w:val="2"/>
        </w:numPr>
        <w:spacing w:after="60" w:line="264" w:lineRule="auto"/>
        <w:jc w:val="both"/>
      </w:pPr>
      <w:r>
        <w:t>Sprovodjenje sustinske javne rasprave sa dovoljnim rokom i objavljivanjem svih pristiglih komentara i obrazlozenja predlagaca o njihovom (ne)prihvatanju;</w:t>
      </w:r>
    </w:p>
    <w:p w14:paraId="3DD6FEFE" w14:textId="77777777" w:rsidR="00C9376D" w:rsidRDefault="00000000">
      <w:pPr>
        <w:pStyle w:val="ListParagraph"/>
        <w:numPr>
          <w:ilvl w:val="0"/>
          <w:numId w:val="2"/>
        </w:numPr>
        <w:spacing w:after="60" w:line="264" w:lineRule="auto"/>
        <w:jc w:val="both"/>
      </w:pPr>
      <w:r>
        <w:t>Ukljucivanje sektora zastite prirode (Ministarstvo, zavodi za zastitu prirode, strucna i naucna zajednica) u dalju izradu;</w:t>
      </w:r>
    </w:p>
    <w:p w14:paraId="7C011A28" w14:textId="77777777" w:rsidR="00C9376D" w:rsidRDefault="00000000">
      <w:pPr>
        <w:pStyle w:val="ListParagraph"/>
        <w:numPr>
          <w:ilvl w:val="0"/>
          <w:numId w:val="2"/>
        </w:numPr>
        <w:spacing w:after="60" w:line="264" w:lineRule="auto"/>
        <w:jc w:val="both"/>
      </w:pPr>
      <w:r>
        <w:t>Dostavljanje ovih komentara i Evropskoj komisiji u fazi komentarisanja koju predlagac sam najavljuje u Izjavi o uskladjenosti sa propisima EU;</w:t>
      </w:r>
    </w:p>
    <w:p w14:paraId="51556019" w14:textId="77777777" w:rsidR="00C9376D" w:rsidRDefault="00000000">
      <w:pPr>
        <w:pStyle w:val="ListParagraph"/>
        <w:numPr>
          <w:ilvl w:val="0"/>
          <w:numId w:val="2"/>
        </w:numPr>
        <w:spacing w:after="60" w:line="264" w:lineRule="auto"/>
        <w:jc w:val="both"/>
      </w:pPr>
      <w:r>
        <w:t>Objavljivanje tabele uskladjenosti sa relevantnim direktivama pre usvajanja.</w:t>
      </w:r>
    </w:p>
    <w:sectPr w:rsidR="00C9376D">
      <w:pgSz w:w="11906" w:h="16838"/>
      <w:pgMar w:top="1100" w:right="1200" w:bottom="1100" w:left="120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373413"/>
    <w:multiLevelType w:val="hybridMultilevel"/>
    <w:tmpl w:val="E4BEDA98"/>
    <w:lvl w:ilvl="0" w:tplc="AB1E4D90">
      <w:start w:val="1"/>
      <w:numFmt w:val="bullet"/>
      <w:lvlText w:val="●"/>
      <w:lvlJc w:val="left"/>
      <w:pPr>
        <w:ind w:left="720" w:hanging="360"/>
      </w:pPr>
    </w:lvl>
    <w:lvl w:ilvl="1" w:tplc="23D2AECE">
      <w:start w:val="1"/>
      <w:numFmt w:val="bullet"/>
      <w:lvlText w:val="○"/>
      <w:lvlJc w:val="left"/>
      <w:pPr>
        <w:ind w:left="1440" w:hanging="360"/>
      </w:pPr>
    </w:lvl>
    <w:lvl w:ilvl="2" w:tplc="88A0D560">
      <w:start w:val="1"/>
      <w:numFmt w:val="bullet"/>
      <w:lvlText w:val="■"/>
      <w:lvlJc w:val="left"/>
      <w:pPr>
        <w:ind w:left="2160" w:hanging="360"/>
      </w:pPr>
    </w:lvl>
    <w:lvl w:ilvl="3" w:tplc="52724F9C">
      <w:start w:val="1"/>
      <w:numFmt w:val="bullet"/>
      <w:lvlText w:val="●"/>
      <w:lvlJc w:val="left"/>
      <w:pPr>
        <w:ind w:left="2880" w:hanging="360"/>
      </w:pPr>
    </w:lvl>
    <w:lvl w:ilvl="4" w:tplc="AA6ECF24">
      <w:start w:val="1"/>
      <w:numFmt w:val="bullet"/>
      <w:lvlText w:val="○"/>
      <w:lvlJc w:val="left"/>
      <w:pPr>
        <w:ind w:left="3600" w:hanging="360"/>
      </w:pPr>
    </w:lvl>
    <w:lvl w:ilvl="5" w:tplc="3B7EAD42">
      <w:start w:val="1"/>
      <w:numFmt w:val="bullet"/>
      <w:lvlText w:val="■"/>
      <w:lvlJc w:val="left"/>
      <w:pPr>
        <w:ind w:left="4320" w:hanging="360"/>
      </w:pPr>
    </w:lvl>
    <w:lvl w:ilvl="6" w:tplc="52D049E8">
      <w:start w:val="1"/>
      <w:numFmt w:val="bullet"/>
      <w:lvlText w:val="●"/>
      <w:lvlJc w:val="left"/>
      <w:pPr>
        <w:ind w:left="5040" w:hanging="360"/>
      </w:pPr>
    </w:lvl>
    <w:lvl w:ilvl="7" w:tplc="C9182A42">
      <w:start w:val="1"/>
      <w:numFmt w:val="bullet"/>
      <w:lvlText w:val="●"/>
      <w:lvlJc w:val="left"/>
      <w:pPr>
        <w:ind w:left="5760" w:hanging="360"/>
      </w:pPr>
    </w:lvl>
    <w:lvl w:ilvl="8" w:tplc="AAE8F058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088A548F"/>
    <w:multiLevelType w:val="hybridMultilevel"/>
    <w:tmpl w:val="620E3628"/>
    <w:lvl w:ilvl="0" w:tplc="0E366E96">
      <w:start w:val="1"/>
      <w:numFmt w:val="bullet"/>
      <w:lvlText w:val="•"/>
      <w:lvlJc w:val="left"/>
      <w:pPr>
        <w:ind w:left="460" w:hanging="260"/>
      </w:pPr>
    </w:lvl>
    <w:lvl w:ilvl="1" w:tplc="14264BA8">
      <w:start w:val="1"/>
      <w:numFmt w:val="bullet"/>
      <w:lvlText w:val="◦"/>
      <w:lvlJc w:val="left"/>
      <w:pPr>
        <w:ind w:left="900" w:hanging="260"/>
      </w:pPr>
    </w:lvl>
    <w:lvl w:ilvl="2" w:tplc="C9BCBFC4">
      <w:numFmt w:val="decimal"/>
      <w:lvlText w:val=""/>
      <w:lvlJc w:val="left"/>
    </w:lvl>
    <w:lvl w:ilvl="3" w:tplc="6F92A930">
      <w:numFmt w:val="decimal"/>
      <w:lvlText w:val=""/>
      <w:lvlJc w:val="left"/>
    </w:lvl>
    <w:lvl w:ilvl="4" w:tplc="11960FA4">
      <w:numFmt w:val="decimal"/>
      <w:lvlText w:val=""/>
      <w:lvlJc w:val="left"/>
    </w:lvl>
    <w:lvl w:ilvl="5" w:tplc="6DCEF37E">
      <w:numFmt w:val="decimal"/>
      <w:lvlText w:val=""/>
      <w:lvlJc w:val="left"/>
    </w:lvl>
    <w:lvl w:ilvl="6" w:tplc="BDF84784">
      <w:numFmt w:val="decimal"/>
      <w:lvlText w:val=""/>
      <w:lvlJc w:val="left"/>
    </w:lvl>
    <w:lvl w:ilvl="7" w:tplc="E7728FDA">
      <w:numFmt w:val="decimal"/>
      <w:lvlText w:val=""/>
      <w:lvlJc w:val="left"/>
    </w:lvl>
    <w:lvl w:ilvl="8" w:tplc="02D26D00">
      <w:numFmt w:val="decimal"/>
      <w:lvlText w:val=""/>
      <w:lvlJc w:val="left"/>
    </w:lvl>
  </w:abstractNum>
  <w:num w:numId="1" w16cid:durableId="2122991134">
    <w:abstractNumId w:val="0"/>
    <w:lvlOverride w:ilvl="0">
      <w:startOverride w:val="1"/>
    </w:lvlOverride>
  </w:num>
  <w:num w:numId="2" w16cid:durableId="1051811353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376D"/>
    <w:rsid w:val="001E5D8D"/>
    <w:rsid w:val="00393267"/>
    <w:rsid w:val="0091604A"/>
    <w:rsid w:val="00B91FCA"/>
    <w:rsid w:val="00C9376D"/>
    <w:rsid w:val="00D150D7"/>
    <w:rsid w:val="00FA15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AEEF0A"/>
  <w15:docId w15:val="{AE25DA44-15E8-4C2F-86A1-FDF32AF07E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color w:val="1A1A1A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4</Pages>
  <Words>1429</Words>
  <Characters>8147</Characters>
  <Application>Microsoft Office Word</Application>
  <DocSecurity>0</DocSecurity>
  <Lines>67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korisnik</cp:lastModifiedBy>
  <cp:revision>3</cp:revision>
  <dcterms:created xsi:type="dcterms:W3CDTF">2026-07-19T15:31:00Z</dcterms:created>
  <dcterms:modified xsi:type="dcterms:W3CDTF">2026-07-19T18:24:00Z</dcterms:modified>
</cp:coreProperties>
</file>